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2552"/>
        <w:gridCol w:w="891"/>
        <w:gridCol w:w="1033"/>
        <w:gridCol w:w="1195"/>
        <w:gridCol w:w="973"/>
        <w:gridCol w:w="161"/>
        <w:gridCol w:w="644"/>
        <w:gridCol w:w="705"/>
        <w:gridCol w:w="352"/>
        <w:gridCol w:w="329"/>
        <w:gridCol w:w="680"/>
        <w:gridCol w:w="408"/>
        <w:gridCol w:w="272"/>
      </w:tblGrid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"/>
        </w:trPr>
        <w:tc>
          <w:tcPr>
            <w:tcW w:w="10194.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78.9261"/>
        </w:trPr>
        <w:tc>
          <w:tcPr>
            <w:tcW w:w="10194.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420" w:lineRule="auto"/>
              <w:rPr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36"/>
                <w:szCs w:val="36"/>
              </w:rPr>
              <w:t> ПОЯСНЮВАЛЬНА ЗАПИСКА</w:t>
            </w:r>
          </w:p>
        </w:tc>
      </w:tr>
      <w:tr>
        <w:trPr>
          <w:trHeight w:hRule="exact" w:val="277.8299"/>
        </w:trPr>
        <w:tc>
          <w:tcPr>
            <w:tcW w:w="10194.6" w:type="dxa"/>
            <w:gridSpan w:val="13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20"/>
                <w:szCs w:val="20"/>
              </w:rPr>
              <w:t> за дев'ять місяців 2025 року</w:t>
            </w:r>
          </w:p>
        </w:tc>
      </w:tr>
      <w:tr>
        <w:trPr>
          <w:trHeight w:hRule="exact" w:val="277.83"/>
        </w:trPr>
        <w:tc>
          <w:tcPr>
            <w:tcW w:w="2551.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252.5" w:type="dxa"/>
            <w:gridSpan w:val="5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КОДИ</w:t>
            </w:r>
          </w:p>
        </w:tc>
      </w:tr>
      <w:tr>
        <w:trPr>
          <w:trHeight w:hRule="exact" w:val="471.87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Установа</w:t>
            </w:r>
          </w:p>
        </w:tc>
        <w:tc>
          <w:tcPr>
            <w:tcW w:w="4252.5" w:type="dxa"/>
            <w:gridSpan w:val="5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Заклад дошкільної освіти №8 Коростишівської міської ради</w:t>
            </w:r>
          </w:p>
        </w:tc>
        <w:tc>
          <w:tcPr>
            <w:tcW w:w="1349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ЄДРПОУ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25755610</w:t>
            </w:r>
          </w:p>
        </w:tc>
      </w:tr>
      <w:tr>
        <w:trPr>
          <w:trHeight w:hRule="exact" w:val="261.513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Територія</w:t>
            </w:r>
          </w:p>
        </w:tc>
        <w:tc>
          <w:tcPr>
            <w:tcW w:w="4252.5" w:type="dxa"/>
            <w:gridSpan w:val="5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Коростишів</w:t>
            </w:r>
          </w:p>
        </w:tc>
        <w:tc>
          <w:tcPr>
            <w:tcW w:w="1349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КАТОТТГ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UA18040250010085012</w:t>
            </w:r>
          </w:p>
        </w:tc>
      </w:tr>
      <w:tr>
        <w:trPr>
          <w:trHeight w:hRule="exact" w:val="449.8201"/>
        </w:trPr>
        <w:tc>
          <w:tcPr>
            <w:tcW w:w="2551.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Організаційно-правова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господарювання</w:t>
            </w:r>
            <w:r>
              <w:rPr/>
              <w:t xml:space="preserve"> </w:t>
            </w:r>
          </w:p>
        </w:tc>
        <w:tc>
          <w:tcPr>
            <w:tcW w:w="4252.5" w:type="dxa"/>
            <w:gridSpan w:val="5"/>
            <w:tcBorders>
              <w:bottom w:val="single" w:sz="8" w:space="0" w:color="#808080"/>
            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color w:val="#000000"/>
                <w:sz w:val="18"/>
                <w:szCs w:val="18"/>
              </w:rPr>
              <w:t> Комунальна організація (установа, заклад)</w:t>
            </w:r>
          </w:p>
        </w:tc>
        <w:tc>
          <w:tcPr>
            <w:tcW w:w="1349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за КОПФГ</w:t>
            </w:r>
          </w:p>
        </w:tc>
        <w:tc>
          <w:tcPr>
            <w:tcW w:w="2041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430</w:t>
            </w:r>
          </w:p>
        </w:tc>
      </w:tr>
      <w:tr>
        <w:trPr>
          <w:trHeight w:hRule="exact" w:val="449.8199"/>
        </w:trPr>
        <w:tc>
          <w:tcPr>
            <w:tcW w:w="8153.4" w:type="dxa"/>
            <w:gridSpan w:val="8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Код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назва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типової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відомчої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класифікації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видатків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кредитування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місцевих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бюджетів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006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-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Орган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питань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освіти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і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науки</w:t>
            </w:r>
            <w:r>
              <w:rPr/>
              <w:t xml:space="preserve"> </w:t>
            </w:r>
          </w:p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449.8199"/>
        </w:trPr>
        <w:tc>
          <w:tcPr>
            <w:tcW w:w="2551.5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Періодичність: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квартальна</w:t>
            </w:r>
            <w:r>
              <w:rPr/>
              <w:t xml:space="preserve"> </w:t>
            </w:r>
            <w:r>
              <w:rPr>
                <w:rFonts w:ascii="Times New Roman" w:hAnsi="Times New Roman" w:cs="Times New Roman"/>
                <w:b/>
                <w:color w:val="#000000"/>
                <w:sz w:val="18"/>
                <w:szCs w:val="18"/>
              </w:rPr>
              <w:t>(проміжна)</w:t>
            </w:r>
            <w:r>
              <w:rPr/>
              <w:t xml:space="preserve"> </w:t>
            </w:r>
          </w:p>
        </w:tc>
        <w:tc>
          <w:tcPr>
            <w:tcW w:w="4252.5" w:type="dxa"/>
            <w:gridSpan w:val="5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680.4" w:type="dxa"/>
            <w:gridSpan w:val="2"/>
            <w:tcBorders>
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302.0853"/>
        </w:trPr>
        <w:tc>
          <w:tcPr>
            <w:tcW w:w="2552" w:type="dxa"/>
          </w:tcPr>
          <w:p/>
        </w:tc>
        <w:tc>
          <w:tcPr>
            <w:tcW w:w="891" w:type="dxa"/>
          </w:tcPr>
          <w:p/>
        </w:tc>
        <w:tc>
          <w:tcPr>
            <w:tcW w:w="1033" w:type="dxa"/>
          </w:tcPr>
          <w:p/>
        </w:tc>
        <w:tc>
          <w:tcPr>
            <w:tcW w:w="1195" w:type="dxa"/>
          </w:tcPr>
          <w:p/>
        </w:tc>
        <w:tc>
          <w:tcPr>
            <w:tcW w:w="973" w:type="dxa"/>
          </w:tcPr>
          <w:p/>
        </w:tc>
        <w:tc>
          <w:tcPr>
            <w:tcW w:w="161" w:type="dxa"/>
          </w:tcPr>
          <w:p/>
        </w:tc>
        <w:tc>
          <w:tcPr>
            <w:tcW w:w="644" w:type="dxa"/>
          </w:tcPr>
          <w:p/>
        </w:tc>
        <w:tc>
          <w:tcPr>
            <w:tcW w:w="705" w:type="dxa"/>
          </w:tcPr>
          <w:p/>
        </w:tc>
        <w:tc>
          <w:tcPr>
            <w:tcW w:w="352" w:type="dxa"/>
          </w:tcPr>
          <w:p/>
        </w:tc>
        <w:tc>
          <w:tcPr>
            <w:tcW w:w="329" w:type="dxa"/>
          </w:tcPr>
          <w:p/>
        </w:tc>
        <w:tc>
          <w:tcPr>
            <w:tcW w:w="680" w:type="dxa"/>
          </w:tcPr>
          <w:p/>
        </w:tc>
        <w:tc>
          <w:tcPr>
            <w:tcW w:w="408" w:type="dxa"/>
          </w:tcPr>
          <w:p/>
        </w:tc>
        <w:tc>
          <w:tcPr>
            <w:tcW w:w="272" w:type="dxa"/>
          </w:tcPr>
          <w:p/>
        </w:tc>
      </w:tr>
      <w:tr>
        <w:trPr>
          <w:trHeight w:hRule="exact" w:val="329.2799"/>
        </w:trPr>
        <w:tc>
          <w:tcPr>
            <w:tcW w:w="567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Короткий опис основної діяльності установи</w:t>
            </w:r>
          </w:p>
        </w:tc>
        <w:tc>
          <w:tcPr>
            <w:tcW w:w="283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Найменування органу, якому підпорядкована установа</w:t>
            </w:r>
          </w:p>
        </w:tc>
        <w:tc>
          <w:tcPr>
            <w:tcW w:w="170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color w:val="#000000"/>
                <w:sz w:val="12"/>
                <w:szCs w:val="12"/>
              </w:rPr>
              <w:t> Середня чисельність працівників</w:t>
            </w:r>
          </w:p>
        </w:tc>
      </w:tr>
      <w:tr>
        <w:trPr>
          <w:trHeight w:hRule="exact" w:val="166.6979"/>
        </w:trPr>
        <w:tc>
          <w:tcPr>
            <w:tcW w:w="567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1</w:t>
            </w:r>
          </w:p>
        </w:tc>
        <w:tc>
          <w:tcPr>
            <w:tcW w:w="283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2</w:t>
            </w:r>
          </w:p>
        </w:tc>
        <w:tc>
          <w:tcPr>
            <w:tcW w:w="170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20" w:lineRule="auto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/>
                <w:color w:val="#000000"/>
                <w:sz w:val="10"/>
                <w:szCs w:val="10"/>
              </w:rPr>
              <w:t> 3</w:t>
            </w:r>
          </w:p>
        </w:tc>
      </w:tr>
      <w:tr>
        <w:trPr>
          <w:trHeight w:hRule="exact" w:val="329.2799"/>
        </w:trPr>
        <w:tc>
          <w:tcPr>
            <w:tcW w:w="5670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Заклад дошкільної освіти №8 Коростишівської міської ради</w:t>
            </w:r>
          </w:p>
        </w:tc>
        <w:tc>
          <w:tcPr>
            <w:tcW w:w="283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Управління освіти, молоді та спорту Коростишівської міської ради</w:t>
            </w:r>
          </w:p>
        </w:tc>
        <w:tc>
          <w:tcPr>
            <w:tcW w:w="1701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color w:val="#000000"/>
                <w:sz w:val="12"/>
                <w:szCs w:val="12"/>
              </w:rPr>
              <w:t> 41</w:t>
            </w:r>
          </w:p>
        </w:tc>
      </w:tr>
      <w:tr>
        <w:trPr>
          <w:trHeight w:hRule="exact" w:val="277.8299"/>
        </w:trPr>
        <w:tc>
          <w:tcPr>
            <w:tcW w:w="2552" w:type="dxa"/>
          </w:tcPr>
          <w:p/>
        </w:tc>
        <w:tc>
          <w:tcPr>
            <w:tcW w:w="891" w:type="dxa"/>
          </w:tcPr>
          <w:p/>
        </w:tc>
        <w:tc>
          <w:tcPr>
            <w:tcW w:w="1033" w:type="dxa"/>
          </w:tcPr>
          <w:p/>
        </w:tc>
        <w:tc>
          <w:tcPr>
            <w:tcW w:w="1195" w:type="dxa"/>
          </w:tcPr>
          <w:p/>
        </w:tc>
        <w:tc>
          <w:tcPr>
            <w:tcW w:w="973" w:type="dxa"/>
          </w:tcPr>
          <w:p/>
        </w:tc>
        <w:tc>
          <w:tcPr>
            <w:tcW w:w="161" w:type="dxa"/>
          </w:tcPr>
          <w:p/>
        </w:tc>
        <w:tc>
          <w:tcPr>
            <w:tcW w:w="644" w:type="dxa"/>
          </w:tcPr>
          <w:p/>
        </w:tc>
        <w:tc>
          <w:tcPr>
            <w:tcW w:w="705" w:type="dxa"/>
          </w:tcPr>
          <w:p/>
        </w:tc>
        <w:tc>
          <w:tcPr>
            <w:tcW w:w="352" w:type="dxa"/>
          </w:tcPr>
          <w:p/>
        </w:tc>
        <w:tc>
          <w:tcPr>
            <w:tcW w:w="329" w:type="dxa"/>
          </w:tcPr>
          <w:p/>
        </w:tc>
        <w:tc>
          <w:tcPr>
            <w:tcW w:w="680" w:type="dxa"/>
          </w:tcPr>
          <w:p/>
        </w:tc>
        <w:tc>
          <w:tcPr>
            <w:tcW w:w="408" w:type="dxa"/>
          </w:tcPr>
          <w:p/>
        </w:tc>
        <w:tc>
          <w:tcPr>
            <w:tcW w:w="272" w:type="dxa"/>
          </w:tcPr>
          <w:p/>
        </w:tc>
      </w:tr>
      <w:tr>
        <w:trPr>
          <w:trHeight w:hRule="exact" w:val="3846.108"/>
        </w:trPr>
        <w:tc>
          <w:tcPr>
            <w:tcW w:w="10206" w:type="dxa"/>
            <w:gridSpan w:val="1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Облік грошових коштів Всього на рахунках, відкритих в Казначействі станом на 01.01.2025-року обліковується залишок 11924,00гривень. Для проведення операцій з коштами загального фонду ЗДО має відкриті реєстраційні рахунки (за КПКВК 0611010,06110200) в Казначействі. Залишок коштів на реєстраційних рахунках загального фонду станом на 01.01.2025року відсутній, тому у графі 9 «Залишок на кінець звітного періоду (року)» зведеного звіту форми № 2м «Звіт про надходження та використання коштів загального фонду» не наведено залишок коштів на кінець звітного періоду на реєстраційних рахунках. Залишок коштів на 01.01.2025р.на спеціальному рахунку відповідно до поданого звіту (форма№4-1м), за КПКВК 0611010 становить 11924,00 грн., . Станом на 01.01.2025року залишок відповідно до поданого звіту форми № 4-1м «Звіт про надходження і використання коштів, отриманих як плата за послуги» наведено залишок коштів на реєстраційних рахунках на кінець звітного періоду у сумі 11924,00 гривень.Залишок коштів на 01.10.2025року -  58307,88.на спеціальному рахунку відповідно до поданого звіту (форма№4-1м), за КПКВК 0611010 становить 58307,88 грн., . Станом на 01.10.2025року залишок відповідно до поданого звіту форми № 4-1м «Звіт про надходження і використання коштів, отриманих як плата за послуги» наведено залишок коштів на реєстраційних рахунках на кінець звітного періоду у сумі 58307,88гривень. Крім того, ЗДО має відкриті інші рахунки в органах Казначейства, Сума залишку станом на 01.10.2025року на небюджетному рахунку 3711 Для проведення операцій за розрахунками з виплати допомоги у зв’язку з тимчасовою втратою працездатності, що здійснюються за рахунок коштів ФСС на випадок тимчасової втрати працездатності 0,00 грн.</w:t>
            </w:r>
          </w:p>
        </w:tc>
      </w:tr>
      <w:tr>
        <w:trPr>
          <w:trHeight w:hRule="exact" w:val="1817.802"/>
        </w:trPr>
        <w:tc>
          <w:tcPr>
            <w:tcW w:w="10206" w:type="dxa"/>
            <w:gridSpan w:val="1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Облік доходів Доходи за бюджетними асигнуваннями У графі 7 «Надійшло коштів за звітний період (рік)» зведеного звіту форми № 2м «Звіт про надходження та використання коштів загального фонду» відображена сума 5481176,05 гривень та складається із коштів загального фонду, отриманих для здійснення видатків. У рядку 2010 «Бюджетні асигнування» розділу І Фінансовий результат діяльності форми № 2-дс «Звіт про фінансовий результат» відображена сума отриманих асигнувань для здійснення поточних видатків по загальному фондах та складає 5481176,05рн. Власні надходження У графі 9 «Надійшло коштів за звітний період (рік)» зведеного «Звіту про надходження і використання коштів, отриманих як плата за послуги» (форма № 4-1м) відображена сума 231485,97 грн.(в т.ч. 124,34 від реалізації в установленому порядку майна(крім нерухомого майна))</w:t>
            </w:r>
          </w:p>
        </w:tc>
      </w:tr>
      <w:tr>
        <w:trPr>
          <w:trHeight w:hRule="exact" w:val="1817.802"/>
        </w:trPr>
        <w:tc>
          <w:tcPr>
            <w:tcW w:w="10206" w:type="dxa"/>
            <w:gridSpan w:val="1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Облік витрат Касові витрати за звітний період зведених бюджетних форм складають 5666278,14 грн.: - форма № 2м «Звіт про надходження та використання коштів загального фонду» - 5481176,05 грн.; - форма № 4-1м,4-2м «Звіту про надходження і використання коштів, отриманих як плата за послуги» -185102,09грн.; Загальна сума витрат, відображених у зазначених формах бюджетної звітності знайшла своє відображення у рядку 2380 «Усього витрат» розділу І «Фінансовий результат діяльності» форми № 2-дс «Звіт про фінансовий результат», у тому числі: - витрати на відрядження (КЕКВ 2250) та інші поточні видатки (КЕКВ 2800), які відображені у рядку 2250 «Інші витрати за обмінними операціями» розділу І «Фінансовий результат діяльності» форми №2-дс «Звіт про фінансовий результат», –0,00 грн. та 0,00грн. відповідно.</w:t>
            </w:r>
          </w:p>
        </w:tc>
      </w:tr>
      <w:tr>
        <w:trPr>
          <w:trHeight w:hRule="exact" w:val="1303.742"/>
        </w:trPr>
        <w:tc>
          <w:tcPr>
            <w:tcW w:w="10206" w:type="dxa"/>
            <w:gridSpan w:val="13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Облік розрахунків Розрахунки по загальному фонду Згідно зведеного «Звіту про заборгованість за бюджетними коштами» (форма № 7м) за загальним фондом дебіторська заборгованість станом на 01.01.2025 року склала 74492,50 грн. Уся дебіторська заборгованість обліковується за КПКВК 0611010 «Надання дошкільної освіти». Заборгованість по розрахунках за виданими авансами складає в сум 74492,50 грн (КЕКВ 2274). - попередня оплата за природний газ за грудень 2024 року.Погашена сума протягом січня 2025р. Станом на</w:t>
            </w:r>
          </w:p>
        </w:tc>
      </w:tr>
      <w:tr>
        <w:trPr>
          <w:trHeight w:hRule="exact" w:val="1166.886"/>
        </w:trPr>
        <w:tc>
          <w:tcPr>
            <w:tcW w:w="2552" w:type="dxa"/>
          </w:tcPr>
          <w:p/>
        </w:tc>
        <w:tc>
          <w:tcPr>
            <w:tcW w:w="891" w:type="dxa"/>
          </w:tcPr>
          <w:p/>
        </w:tc>
        <w:tc>
          <w:tcPr>
            <w:tcW w:w="1033" w:type="dxa"/>
          </w:tcPr>
          <w:p/>
        </w:tc>
        <w:tc>
          <w:tcPr>
            <w:tcW w:w="1195" w:type="dxa"/>
          </w:tcPr>
          <w:p/>
        </w:tc>
        <w:tc>
          <w:tcPr>
            <w:tcW w:w="973" w:type="dxa"/>
          </w:tcPr>
          <w:p/>
        </w:tc>
        <w:tc>
          <w:tcPr>
            <w:tcW w:w="161" w:type="dxa"/>
          </w:tcPr>
          <w:p/>
        </w:tc>
        <w:tc>
          <w:tcPr>
            <w:tcW w:w="644" w:type="dxa"/>
          </w:tcPr>
          <w:p/>
        </w:tc>
        <w:tc>
          <w:tcPr>
            <w:tcW w:w="705" w:type="dxa"/>
          </w:tcPr>
          <w:p/>
        </w:tc>
        <w:tc>
          <w:tcPr>
            <w:tcW w:w="352" w:type="dxa"/>
          </w:tcPr>
          <w:p/>
        </w:tc>
        <w:tc>
          <w:tcPr>
            <w:tcW w:w="329" w:type="dxa"/>
          </w:tcPr>
          <w:p/>
        </w:tc>
        <w:tc>
          <w:tcPr>
            <w:tcW w:w="1134" w:type="dxa"/>
            <w:gridSpan w:val="2"/>
            <w:tcBorders>
</w:tcBorders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1" name="1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2" w:type="dxa"/>
          </w:tcPr>
          <w:p/>
        </w:tc>
      </w:tr>
      <w:tr>
        <w:trPr>
          <w:trHeight w:hRule="exact" w:val="361.18"/>
        </w:trPr>
        <w:tc>
          <w:tcPr>
            <w:tcW w:w="3442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202500000052069525</w:t>
            </w:r>
          </w:p>
        </w:tc>
        <w:tc>
          <w:tcPr>
            <w:tcW w:w="1032.75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67.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805.2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750.7" w:type="dxa"/>
            <w:gridSpan w:val="6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1 з 2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567"/>
        <w:gridCol w:w="992"/>
        <w:gridCol w:w="737"/>
        <w:gridCol w:w="1146"/>
        <w:gridCol w:w="203"/>
        <w:gridCol w:w="830"/>
        <w:gridCol w:w="520"/>
        <w:gridCol w:w="1349"/>
        <w:gridCol w:w="298"/>
        <w:gridCol w:w="805"/>
        <w:gridCol w:w="246"/>
        <w:gridCol w:w="1095"/>
        <w:gridCol w:w="255"/>
        <w:gridCol w:w="760"/>
        <w:gridCol w:w="403"/>
      </w:tblGrid>
      <w:tr>
        <w:trPr>
          <w:trHeight w:hRule="exact" w:val="4747.659"/>
        </w:trPr>
        <w:tc>
          <w:tcPr>
            <w:tcW w:w="10206" w:type="dxa"/>
            <w:gridSpan w:val="1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01.01.2025року прострочена дебіторська заборгованість відсутня -Відсутні зобов"язання без відповідних бюджетних асигнувань або перевищення повноважень. В установі не ліквідовувались та створювались структурні одиниці. В установі в січні 2025 року було повернення коштів від постачальника природного газу зайво сплачених коштів . Перерахування проводимо на підставі платіжної інструкції за кодом класифікації доходів 24060300. Після повернення зайво сплачених коштів проводимо коригування субрахунку 5512 " Накопичені фінансові результати киконання кошторису". Адже витрати понесені установою при оплаті ,свого часу,були віднесені фінансовий результат виконання кошторису . Тому фінансовий результат необхідно збільшити на суму повернутих коштів . Сума повернутих коштів складає 15903,33грн. Станом на 01.01.2025року відсутня кредиторська та дебіторська заборгованість перед ФССНВ. Розрахунки по загальному фонду Згідно зведеного «Звіту про заборгованість за бюджетними коштами» (форма № 7м) за загальним фондом дебіторська заборгованість станом на 01.10.2025 року відсутня. Розрахунки по спеціальному фонду Згідно зведеного «Звіту про заборгованість за бюджетними коштами» (форма № 7м), за спеціальним фондом дебіторська заборгованість станом на 01.10.2025р. відсутня. Кредиторська заборгованість за бюджетними коштами за спеціальним фондом станом на 01.01.2025 року склала 51969,69грн. В тому числі: за доходами – 51969,69грн. – переплата батьками дітей за відвідування дітьми ЗДО; Кредиторська заборгованість за бюджетними коштами за спеціальним фондом станом на 01.10.2025 року склала 67595,54грн. В тому числі: за доходами –67595,54грн. – переплата батьками дітей за відвідування дітьми ЗДО; Прострочена кредиторська заборгованість за спеціальним фондом відсутня Фінансовий результат У графі 4 рядка 1420 «Фінансовий результат» Пасиву Балансу (форма № 1-дс) відображено фінансовий результат виконання кошторису станом на кінець звітного періоду у сумі 185293,00 грн., який складається із: - накопиченого результату минулого періоду – 8540,00 грн.; - фінансового результату виконання кошторису звітного періоду 185293,00 гривень.</w:t>
            </w:r>
          </w:p>
        </w:tc>
      </w:tr>
      <w:tr>
        <w:trPr>
          <w:trHeight w:hRule="exact" w:val="1366.953"/>
        </w:trPr>
        <w:tc>
          <w:tcPr>
            <w:tcW w:w="10206" w:type="dxa"/>
            <w:gridSpan w:val="1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Фінансовий результат (форма № 2-дс) Фінансовий результат виконання кошторису звітного періоду – 180993,00 грн. (рядок 2390 “Профіцит/дефіцит за звітний період” розділу І. На зміна накопиченого фінансовго результату виконання кошторису у звітному періоді вплинуло: списання матеріалів на суму 3063,20 грн та повернення коштів на рахунок закладу в січні 2025 року за невикористаний газ в сумі 15903,33грн. Фінансовий результат станом на кінець звітного періоду 185293,00рн. (графа 4 рядка 1420 “Фінансовий результат” Пасиву Балансу (форма № 1-дс) .</w:t>
            </w:r>
          </w:p>
        </w:tc>
      </w:tr>
      <w:tr>
        <w:trPr>
          <w:trHeight w:hRule="exact" w:val="1366.953"/>
        </w:trPr>
        <w:tc>
          <w:tcPr>
            <w:tcW w:w="10206" w:type="dxa"/>
            <w:gridSpan w:val="1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Доходи: У рядку 2010 “Бюджетні асигнування” частини І. Фінансовий результат діяльності Звіту про фінансові результати діяльності (Форма № 2-дс) відображена сума 5481176 грн., із них: - отримано бюджетних асигнувань загального фонду в звітному періоді –5481176 грн. за мінусом вилученого з бюджетних асигнувань цільового фінансування на суму поточних витрат, що включаються до вартості об’єкта необоротних активів – 0,00 грн. , У рядку 2020 “Доходи від надання послуг (виконання робіт)” відображена сума 165873,00 грн., в тому числі: - плата за послуги, що надаються бюджетною установою згідно з їх основною діяльністю –180993,00грн.</w:t>
            </w:r>
          </w:p>
        </w:tc>
      </w:tr>
      <w:tr>
        <w:trPr>
          <w:trHeight w:hRule="exact" w:val="916.2517"/>
        </w:trPr>
        <w:tc>
          <w:tcPr>
            <w:tcW w:w="10206" w:type="dxa"/>
            <w:gridSpan w:val="1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Витрати: Загальна сума витрат, відображена у рядку 2380 “Усього витрат” звіту 2-дс –5878029,00 грн., в тому числі: - витрати за обмінними операціями (дані рядка 2290) – 5878029,00 грн.; Витрати за обмінними операціями – 0,00 грн.: із них: - Витрати на виконання бюджетних програм - …грн.: - витрати на оплату праці – 3940591грн., - відрахування на соціальні заходи –793471грн., - матеріальні витрати – 1142435,00грн.,амортизаця - 1532,00.</w:t>
            </w:r>
          </w:p>
        </w:tc>
      </w:tr>
      <w:tr>
        <w:trPr>
          <w:trHeight w:hRule="exact" w:val="240.0513"/>
        </w:trPr>
        <w:tc>
          <w:tcPr>
            <w:tcW w:w="10206" w:type="dxa"/>
            <w:gridSpan w:val="15"/>
            <w:tcBorders>
</w:tcBorders>
            <w:shd w:val="clear" w:color="#000000" w:fill="#FFFFFF"/>
            <w:vAlign w:val="top"/>
            <w:tcMar>
              <w:top w:w="0" w:type="dxa"/>
              <w:left w:w="38" w:type="dxa"/>
              <w:bottom w:w="0" w:type="dxa"/>
              <w:right w:w="38" w:type="dxa"/>
            </w:tcMar>
          </w:tcPr>
          <w:p>
            <w:pPr>
              <w:jc w:val="both"/>
              <w:spacing w:after="0" w:line="240" w:lineRule="auto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#000000"/>
                <w:sz w:val="20"/>
                <w:szCs w:val="20"/>
              </w:rPr>
              <w:t>         Директор Олена КОХАН.</w:t>
            </w:r>
          </w:p>
        </w:tc>
      </w:tr>
      <w:tr>
        <w:trPr>
          <w:trHeight w:hRule="exact" w:val="277.8295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59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59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428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Керівник (уповноважена посадова особа)</w:t>
            </w:r>
          </w:p>
        </w:tc>
        <w:tc>
          <w:tcPr>
            <w:tcW w:w="1349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698.8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Олена КОХАН</w:t>
            </w:r>
          </w:p>
        </w:tc>
        <w:tc>
          <w:tcPr>
            <w:tcW w:w="759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59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67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59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674.7303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4428.15" w:type="dxa"/>
            <w:gridSpan w:val="6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Головний бухгалтер (спеціаліст,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на якого покладено виконання обов’язків</w:t>
            </w:r>
          </w:p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#000000"/>
                <w:sz w:val="18"/>
                <w:szCs w:val="18"/>
              </w:rPr>
              <w:t> бухгалтерської служби)</w:t>
            </w:r>
          </w:p>
        </w:tc>
        <w:tc>
          <w:tcPr>
            <w:tcW w:w="1349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698.8" w:type="dxa"/>
            <w:gridSpan w:val="5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u w:val="single"/>
                <w:color w:val="#000000"/>
                <w:sz w:val="18"/>
                <w:szCs w:val="18"/>
              </w:rPr>
              <w:t> Олена ЗОЛЕНКО</w:t>
            </w:r>
          </w:p>
        </w:tc>
        <w:tc>
          <w:tcPr>
            <w:tcW w:w="759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304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992.25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37.1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2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759.75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277.8295"/>
        </w:trPr>
        <w:tc>
          <w:tcPr>
            <w:tcW w:w="567" w:type="dxa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3078.75" w:type="dxa"/>
            <w:gridSpan w:val="4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210" w:lineRule="auto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color w:val="#000000"/>
                <w:sz w:val="18"/>
                <w:szCs w:val="18"/>
              </w:rPr>
              <w:t> " 08 " жовтня 2025р.</w:t>
            </w:r>
          </w:p>
        </w:tc>
        <w:tc>
          <w:tcPr>
            <w:tcW w:w="1349.4" w:type="dxa"/>
            <w:gridSpan w:val="2"/>
            <w:tcBorders>
</w:tcBorders>
            <w:shd w:val="clear" w:color="#000000" w:fill="#FFFFFF"/>
            <w:vAlign w:val="bottom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349.4" w:type="dxa"/>
            <w:gridSpan w:val="3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094.551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1134" w:type="dxa"/>
            <w:gridSpan w:val="2"/>
            <w:tcBorders>
</w:tcBorders>
            <w:vMerge w:val="restart"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720000" cy="720000"/>
                  <wp:docPr id="2" name="2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2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" cy="7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.9" w:type="dxa"/>
            <w:tcBorders>
</w:tcBorders>
            <w:shd w:val="clear" w:color="#000000" w:fill="#FFFFFF"/>
            <w:vAlign w:val="top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</w:tr>
      <w:tr>
        <w:trPr>
          <w:trHeight w:hRule="exact" w:val="769.9861"/>
        </w:trPr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146" w:type="dxa"/>
          </w:tcPr>
          <w:p/>
        </w:tc>
        <w:tc>
          <w:tcPr>
            <w:tcW w:w="203" w:type="dxa"/>
          </w:tcPr>
          <w:p/>
        </w:tc>
        <w:tc>
          <w:tcPr>
            <w:tcW w:w="830" w:type="dxa"/>
          </w:tcPr>
          <w:p/>
        </w:tc>
        <w:tc>
          <w:tcPr>
            <w:tcW w:w="520" w:type="dxa"/>
          </w:tcPr>
          <w:p/>
        </w:tc>
        <w:tc>
          <w:tcPr>
            <w:tcW w:w="1349" w:type="dxa"/>
          </w:tcPr>
          <w:p/>
        </w:tc>
        <w:tc>
          <w:tcPr>
            <w:tcW w:w="298" w:type="dxa"/>
          </w:tcPr>
          <w:p/>
        </w:tc>
        <w:tc>
          <w:tcPr>
            <w:tcW w:w="805" w:type="dxa"/>
          </w:tcPr>
          <w:p/>
        </w:tc>
        <w:tc>
          <w:tcPr>
            <w:tcW w:w="246" w:type="dxa"/>
          </w:tcPr>
          <w:p/>
        </w:tc>
        <w:tc>
          <w:tcPr>
            <w:tcW w:w="1095" w:type="dxa"/>
          </w:tcPr>
          <w:p/>
        </w:tc>
        <w:tc>
          <w:tcPr>
            <w:tcW w:w="1134" w:type="dxa"/>
            <w:gridSpan w:val="2"/>
            <w:tcBorders>
</w:tcBorders>
            <w:vMerge/>
            <w:shd w:val="clear" w:color="#FFFFFF" w:fill="#FFFFFF"/>
            <w:vAlign w:val="top"/>
            <w:tcMar>
              <w:top w:w="0" w:type="dxa"/>
              <w:left w:w="4" w:type="dxa"/>
              <w:bottom w:w="0" w:type="dxa"/>
              <w:right w:w="4" w:type="dxa"/>
            </w:tcMar>
          </w:tcPr>
          <w:p/>
        </w:tc>
        <w:tc>
          <w:tcPr>
            <w:tcW w:w="403" w:type="dxa"/>
          </w:tcPr>
          <w:p/>
        </w:tc>
      </w:tr>
      <w:tr>
        <w:trPr>
          <w:trHeight w:hRule="exact" w:val="3086.559"/>
        </w:trPr>
        <w:tc>
          <w:tcPr>
            <w:tcW w:w="567" w:type="dxa"/>
          </w:tcPr>
          <w:p/>
        </w:tc>
        <w:tc>
          <w:tcPr>
            <w:tcW w:w="992" w:type="dxa"/>
          </w:tcPr>
          <w:p/>
        </w:tc>
        <w:tc>
          <w:tcPr>
            <w:tcW w:w="737" w:type="dxa"/>
          </w:tcPr>
          <w:p/>
        </w:tc>
        <w:tc>
          <w:tcPr>
            <w:tcW w:w="1146" w:type="dxa"/>
          </w:tcPr>
          <w:p/>
        </w:tc>
        <w:tc>
          <w:tcPr>
            <w:tcW w:w="203" w:type="dxa"/>
          </w:tcPr>
          <w:p/>
        </w:tc>
        <w:tc>
          <w:tcPr>
            <w:tcW w:w="830" w:type="dxa"/>
          </w:tcPr>
          <w:p/>
        </w:tc>
        <w:tc>
          <w:tcPr>
            <w:tcW w:w="520" w:type="dxa"/>
          </w:tcPr>
          <w:p/>
        </w:tc>
        <w:tc>
          <w:tcPr>
            <w:tcW w:w="1349" w:type="dxa"/>
          </w:tcPr>
          <w:p/>
        </w:tc>
        <w:tc>
          <w:tcPr>
            <w:tcW w:w="298" w:type="dxa"/>
          </w:tcPr>
          <w:p/>
        </w:tc>
        <w:tc>
          <w:tcPr>
            <w:tcW w:w="805" w:type="dxa"/>
          </w:tcPr>
          <w:p/>
        </w:tc>
        <w:tc>
          <w:tcPr>
            <w:tcW w:w="246" w:type="dxa"/>
          </w:tcPr>
          <w:p/>
        </w:tc>
        <w:tc>
          <w:tcPr>
            <w:tcW w:w="1095" w:type="dxa"/>
          </w:tcPr>
          <w:p/>
        </w:tc>
        <w:tc>
          <w:tcPr>
            <w:tcW w:w="255" w:type="dxa"/>
          </w:tcPr>
          <w:p/>
        </w:tc>
        <w:tc>
          <w:tcPr>
            <w:tcW w:w="760" w:type="dxa"/>
          </w:tcPr>
          <w:p/>
        </w:tc>
        <w:tc>
          <w:tcPr>
            <w:tcW w:w="403" w:type="dxa"/>
          </w:tcPr>
          <w:p/>
        </w:tc>
      </w:tr>
      <w:tr>
        <w:trPr>
          <w:trHeight w:hRule="exact" w:val="277.8304"/>
        </w:trPr>
        <w:tc>
          <w:tcPr>
            <w:tcW w:w="3442.5" w:type="dxa"/>
            <w:gridSpan w:val="4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202500000052069525</w:t>
            </w:r>
          </w:p>
        </w:tc>
        <w:tc>
          <w:tcPr>
            <w:tcW w:w="1032.75" w:type="dxa"/>
            <w:gridSpan w:val="2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167.5" w:type="dxa"/>
            <w:gridSpan w:val="3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left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АС  " Є-ЗВІТНІСТЬ "</w:t>
            </w:r>
          </w:p>
        </w:tc>
        <w:tc>
          <w:tcPr>
            <w:tcW w:w="805.2" w:type="dxa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/>
        </w:tc>
        <w:tc>
          <w:tcPr>
            <w:tcW w:w="2750.7" w:type="dxa"/>
            <w:gridSpan w:val="5"/>
            <w:tcBorders>
              <w:top w:val="double" w:sz="8" w:space="0" w:color="#D3D3D3"/>
            </w:tcBorders>
            <w:shd w:val="clear" w:color="#D3D3D3" w:fill="#FFFFFF"/>
            <w:vAlign w:val="center"/>
            <w:tcMar>
              <w:top w:w="17" w:type="dxa"/>
              <w:left w:w="38" w:type="dxa"/>
              <w:bottom w:w="17" w:type="dxa"/>
              <w:right w:w="38" w:type="dxa"/>
            </w:tcMar>
          </w:tcPr>
          <w:p>
            <w:pPr>
              <w:jc w:val="center"/>
              <w:spacing w:after="0" w:line="150" w:lineRule="auto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i/>
                <w:color w:val="#D3D3D3"/>
                <w:sz w:val="12"/>
                <w:szCs w:val="12"/>
              </w:rPr>
              <w:t> ст. 2 з 2</w:t>
            </w:r>
          </w:p>
        </w:tc>
      </w:tr>
    </w:tbl>
    <w:p/>
    <w:sectPr>
      <w:pgSz w:w="11907" w:h="16840"/>
      <w:pgMar w:top="567" w:right="567" w:bottom="5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11" Type="http://schemas.openxmlformats.org/officeDocument/2006/relationships/image" Target="media/image1.png" />
<Relationship Id="rId12" Type="http://schemas.openxmlformats.org/officeDocument/2006/relationships/image" Target="media/image2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Лист1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2009-06-17T07:33:19Z</dcterms:created>
  <dc:title>Form_f_d10</dc:title>
  <dc:creator>FastReport.NET</dc:creator>
</cp:coreProperties>
</file>