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552"/>
        <w:gridCol w:w="891"/>
        <w:gridCol w:w="1033"/>
        <w:gridCol w:w="1195"/>
        <w:gridCol w:w="973"/>
        <w:gridCol w:w="161"/>
        <w:gridCol w:w="644"/>
        <w:gridCol w:w="705"/>
        <w:gridCol w:w="352"/>
        <w:gridCol w:w="329"/>
        <w:gridCol w:w="680"/>
        <w:gridCol w:w="408"/>
        <w:gridCol w:w="272"/>
      </w:tblGrid>
      <w:tr>
        <w:trPr>
          <w:trHeight w:hRule="exact" w:val="277.83"/>
        </w:trPr>
        <w:tc>
          <w:tcPr>
            <w:tcW w:w="2551.5" w:type="dxa"/>
            <w:tcBorders>
</w:tcBorders>
            <w:shd w:val="clear" w:color="#000000" w:fill="#FFFFFF"/>
            <w:vAlign w:val="top"/>
            <w:tcMar>
              <w:top w:w="17" w:type="dxa"/>
              <w:left w:w="38" w:type="dxa"/>
              <w:bottom w:w="17" w:type="dxa"/>
              <w:right w:w="38" w:type="dxa"/>
            </w:tcMar>
          </w:tcPr>
          <w:p/>
        </w:tc>
        <w:tc>
          <w:tcPr>
            <w:tcW w:w="4252.5" w:type="dxa"/>
            <w:gridSpan w:val="5"/>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680.4" w:type="dxa"/>
            <w:gridSpan w:val="2"/>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gridSpan w:val="2"/>
            <w:tcBorders>
</w:tcBorders>
            <w:shd w:val="clear" w:color="#000000" w:fill="#FFFFFF"/>
            <w:vAlign w:val="top"/>
            <w:tcMar>
              <w:top w:w="17" w:type="dxa"/>
              <w:left w:w="38" w:type="dxa"/>
              <w:bottom w:w="17" w:type="dxa"/>
              <w:right w:w="38" w:type="dxa"/>
            </w:tcMar>
          </w:tcPr>
          <w:p/>
        </w:tc>
      </w:tr>
      <w:tr>
        <w:trPr>
          <w:trHeight w:hRule="exact" w:val="277.83"/>
        </w:trPr>
        <w:tc>
          <w:tcPr>
            <w:tcW w:w="10194.6" w:type="dxa"/>
            <w:gridSpan w:val="13"/>
            <w:tcBorders>
</w:tcBorders>
            <w:shd w:val="clear" w:color="#000000" w:fill="#FFFFFF"/>
            <w:vAlign w:val="center"/>
            <w:tcMar>
              <w:top w:w="17" w:type="dxa"/>
              <w:left w:w="38" w:type="dxa"/>
              <w:bottom w:w="17" w:type="dxa"/>
              <w:right w:w="38" w:type="dxa"/>
            </w:tcMar>
          </w:tcPr>
          <w:p/>
        </w:tc>
      </w:tr>
      <w:tr>
        <w:trPr>
          <w:trHeight w:hRule="exact" w:val="478.9261"/>
        </w:trPr>
        <w:tc>
          <w:tcPr>
            <w:tcW w:w="10194.6" w:type="dxa"/>
            <w:gridSpan w:val="13"/>
            <w:tcBorders>
</w:tcBorders>
            <w:shd w:val="clear" w:color="#000000" w:fill="#FFFFFF"/>
            <w:vAlign w:val="center"/>
            <w:tcMar>
              <w:top w:w="17" w:type="dxa"/>
              <w:left w:w="38" w:type="dxa"/>
              <w:bottom w:w="17" w:type="dxa"/>
              <w:right w:w="38" w:type="dxa"/>
            </w:tcMar>
          </w:tcPr>
          <w:p>
            <w:pPr>
              <w:jc w:val="center"/>
              <w:spacing w:after="0" w:line="420" w:lineRule="auto"/>
              <w:rPr>
                <w:sz w:val="36"/>
                <w:szCs w:val="36"/>
              </w:rPr>
            </w:pPr>
            <w:r>
              <w:rPr>
                <w:rFonts w:ascii="Times New Roman" w:hAnsi="Times New Roman" w:cs="Times New Roman"/>
                <w:b/>
                <w:color w:val="#000000"/>
                <w:sz w:val="36"/>
                <w:szCs w:val="36"/>
              </w:rPr>
              <w:t> ПОЯСНЮВАЛЬНА ЗАПИСКА</w:t>
            </w:r>
          </w:p>
        </w:tc>
      </w:tr>
      <w:tr>
        <w:trPr>
          <w:trHeight w:hRule="exact" w:val="277.8299"/>
        </w:trPr>
        <w:tc>
          <w:tcPr>
            <w:tcW w:w="10194.6" w:type="dxa"/>
            <w:gridSpan w:val="13"/>
            <w:tcBorders>
</w:tcBorders>
            <w:shd w:val="clear" w:color="#000000" w:fill="#FFFFFF"/>
            <w:vAlign w:val="center"/>
            <w:tcMar>
              <w:top w:w="17" w:type="dxa"/>
              <w:left w:w="38" w:type="dxa"/>
              <w:bottom w:w="17" w:type="dxa"/>
              <w:right w:w="38" w:type="dxa"/>
            </w:tcMar>
          </w:tcPr>
          <w:p>
            <w:pPr>
              <w:jc w:val="center"/>
              <w:spacing w:after="0" w:line="240" w:lineRule="auto"/>
              <w:rPr>
                <w:sz w:val="20"/>
                <w:szCs w:val="20"/>
              </w:rPr>
            </w:pPr>
            <w:r>
              <w:rPr>
                <w:rFonts w:ascii="Times New Roman" w:hAnsi="Times New Roman" w:cs="Times New Roman"/>
                <w:b/>
                <w:i/>
                <w:color w:val="#000000"/>
                <w:sz w:val="20"/>
                <w:szCs w:val="20"/>
              </w:rPr>
              <w:t> за 2025 рік</w:t>
            </w:r>
          </w:p>
        </w:tc>
      </w:tr>
      <w:tr>
        <w:trPr>
          <w:trHeight w:hRule="exact" w:val="277.83"/>
        </w:trPr>
        <w:tc>
          <w:tcPr>
            <w:tcW w:w="2551.5" w:type="dxa"/>
            <w:tcBorders>
</w:tcBorders>
            <w:shd w:val="clear" w:color="#000000" w:fill="#FFFFFF"/>
            <w:vAlign w:val="top"/>
            <w:tcMar>
              <w:top w:w="17" w:type="dxa"/>
              <w:left w:w="38" w:type="dxa"/>
              <w:bottom w:w="17" w:type="dxa"/>
              <w:right w:w="38" w:type="dxa"/>
            </w:tcMar>
          </w:tcPr>
          <w:p/>
        </w:tc>
        <w:tc>
          <w:tcPr>
            <w:tcW w:w="4252.5" w:type="dxa"/>
            <w:gridSpan w:val="5"/>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2041.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КОДИ</w:t>
            </w:r>
          </w:p>
        </w:tc>
      </w:tr>
      <w:tr>
        <w:trPr>
          <w:trHeight w:hRule="exact" w:val="471.87"/>
        </w:trPr>
        <w:tc>
          <w:tcPr>
            <w:tcW w:w="2551.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Установа</w:t>
            </w:r>
          </w:p>
        </w:tc>
        <w:tc>
          <w:tcPr>
            <w:tcW w:w="4252.5" w:type="dxa"/>
            <w:gridSpan w:val="5"/>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Заклад дошкільної освіти №8 Коростишівської міської ради</w:t>
            </w:r>
          </w:p>
        </w:tc>
        <w:tc>
          <w:tcPr>
            <w:tcW w:w="1349.4"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ЄДРПОУ</w:t>
            </w:r>
          </w:p>
        </w:tc>
        <w:tc>
          <w:tcPr>
            <w:tcW w:w="2041.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25755610</w:t>
            </w:r>
          </w:p>
        </w:tc>
      </w:tr>
      <w:tr>
        <w:trPr>
          <w:trHeight w:hRule="exact" w:val="261.5131"/>
        </w:trPr>
        <w:tc>
          <w:tcPr>
            <w:tcW w:w="2551.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Територія</w:t>
            </w:r>
          </w:p>
        </w:tc>
        <w:tc>
          <w:tcPr>
            <w:tcW w:w="4252.5" w:type="dxa"/>
            <w:gridSpan w:val="5"/>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Коростишів</w:t>
            </w:r>
          </w:p>
        </w:tc>
        <w:tc>
          <w:tcPr>
            <w:tcW w:w="1349.4"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КАТОТТГ</w:t>
            </w:r>
          </w:p>
        </w:tc>
        <w:tc>
          <w:tcPr>
            <w:tcW w:w="2041.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UA18040250010085012</w:t>
            </w:r>
          </w:p>
        </w:tc>
      </w:tr>
      <w:tr>
        <w:trPr>
          <w:trHeight w:hRule="exact" w:val="449.8201"/>
        </w:trPr>
        <w:tc>
          <w:tcPr>
            <w:tcW w:w="2551.5" w:type="dxa"/>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Організаційно-правова</w:t>
            </w:r>
            <w:r>
              <w:rPr/>
              <w:t xml:space="preserve"> </w:t>
            </w:r>
            <w:r>
              <w:rPr>
                <w:rFonts w:ascii="Times New Roman" w:hAnsi="Times New Roman" w:cs="Times New Roman"/>
                <w:color w:val="#000000"/>
                <w:sz w:val="18"/>
                <w:szCs w:val="18"/>
              </w:rPr>
              <w:t>форма</w:t>
            </w:r>
            <w:r>
              <w:rPr/>
              <w:t xml:space="preserve"> </w:t>
            </w:r>
            <w:r>
              <w:rPr>
                <w:rFonts w:ascii="Times New Roman" w:hAnsi="Times New Roman" w:cs="Times New Roman"/>
                <w:color w:val="#000000"/>
                <w:sz w:val="18"/>
                <w:szCs w:val="18"/>
              </w:rPr>
              <w:t>господарювання</w:t>
            </w:r>
            <w:r>
              <w:rPr/>
              <w:t xml:space="preserve"> </w:t>
            </w:r>
          </w:p>
        </w:tc>
        <w:tc>
          <w:tcPr>
            <w:tcW w:w="4252.5" w:type="dxa"/>
            <w:gridSpan w:val="5"/>
            <w:tcBorders>
              <w:bottom w:val="single" w:sz="8" w:space="0" w:color="#808080"/>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b/>
                <w:i/>
                <w:color w:val="#000000"/>
                <w:sz w:val="18"/>
                <w:szCs w:val="18"/>
              </w:rPr>
              <w:t> Комунальна організація (установа, заклад)</w:t>
            </w:r>
          </w:p>
        </w:tc>
        <w:tc>
          <w:tcPr>
            <w:tcW w:w="1349.4" w:type="dxa"/>
            <w:gridSpan w:val="2"/>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за КОПФГ</w:t>
            </w:r>
          </w:p>
        </w:tc>
        <w:tc>
          <w:tcPr>
            <w:tcW w:w="2041.2"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210" w:lineRule="auto"/>
              <w:rPr>
                <w:sz w:val="18"/>
                <w:szCs w:val="18"/>
              </w:rPr>
            </w:pPr>
            <w:r>
              <w:rPr>
                <w:rFonts w:ascii="Times New Roman" w:hAnsi="Times New Roman" w:cs="Times New Roman"/>
                <w:color w:val="#000000"/>
                <w:sz w:val="18"/>
                <w:szCs w:val="18"/>
              </w:rPr>
              <w:t> 430</w:t>
            </w:r>
          </w:p>
        </w:tc>
      </w:tr>
      <w:tr>
        <w:trPr>
          <w:trHeight w:hRule="exact" w:val="449.8199"/>
        </w:trPr>
        <w:tc>
          <w:tcPr>
            <w:tcW w:w="8153.4" w:type="dxa"/>
            <w:gridSpan w:val="8"/>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Код</w:t>
            </w:r>
            <w:r>
              <w:rPr/>
              <w:t xml:space="preserve"> </w:t>
            </w:r>
            <w:r>
              <w:rPr>
                <w:rFonts w:ascii="Times New Roman" w:hAnsi="Times New Roman" w:cs="Times New Roman"/>
                <w:color w:val="#000000"/>
                <w:sz w:val="18"/>
                <w:szCs w:val="18"/>
              </w:rPr>
              <w:t>та</w:t>
            </w:r>
            <w:r>
              <w:rPr/>
              <w:t xml:space="preserve"> </w:t>
            </w:r>
            <w:r>
              <w:rPr>
                <w:rFonts w:ascii="Times New Roman" w:hAnsi="Times New Roman" w:cs="Times New Roman"/>
                <w:color w:val="#000000"/>
                <w:sz w:val="18"/>
                <w:szCs w:val="18"/>
              </w:rPr>
              <w:t>назва</w:t>
            </w:r>
            <w:r>
              <w:rPr/>
              <w:t xml:space="preserve"> </w:t>
            </w:r>
            <w:r>
              <w:rPr>
                <w:rFonts w:ascii="Times New Roman" w:hAnsi="Times New Roman" w:cs="Times New Roman"/>
                <w:color w:val="#000000"/>
                <w:sz w:val="18"/>
                <w:szCs w:val="18"/>
              </w:rPr>
              <w:t>типової</w:t>
            </w:r>
            <w:r>
              <w:rPr/>
              <w:t xml:space="preserve"> </w:t>
            </w:r>
            <w:r>
              <w:rPr>
                <w:rFonts w:ascii="Times New Roman" w:hAnsi="Times New Roman" w:cs="Times New Roman"/>
                <w:color w:val="#000000"/>
                <w:sz w:val="18"/>
                <w:szCs w:val="18"/>
              </w:rPr>
              <w:t>відомчої</w:t>
            </w:r>
            <w:r>
              <w:rPr/>
              <w:t xml:space="preserve"> </w:t>
            </w:r>
            <w:r>
              <w:rPr>
                <w:rFonts w:ascii="Times New Roman" w:hAnsi="Times New Roman" w:cs="Times New Roman"/>
                <w:color w:val="#000000"/>
                <w:sz w:val="18"/>
                <w:szCs w:val="18"/>
              </w:rPr>
              <w:t>класифікації</w:t>
            </w:r>
            <w:r>
              <w:rPr/>
              <w:t xml:space="preserve"> </w:t>
            </w:r>
            <w:r>
              <w:rPr>
                <w:rFonts w:ascii="Times New Roman" w:hAnsi="Times New Roman" w:cs="Times New Roman"/>
                <w:color w:val="#000000"/>
                <w:sz w:val="18"/>
                <w:szCs w:val="18"/>
              </w:rPr>
              <w:t>видатків</w:t>
            </w:r>
            <w:r>
              <w:rPr/>
              <w:t xml:space="preserve"> </w:t>
            </w:r>
            <w:r>
              <w:rPr>
                <w:rFonts w:ascii="Times New Roman" w:hAnsi="Times New Roman" w:cs="Times New Roman"/>
                <w:color w:val="#000000"/>
                <w:sz w:val="18"/>
                <w:szCs w:val="18"/>
              </w:rPr>
              <w:t>та</w:t>
            </w:r>
            <w:r>
              <w:rPr/>
              <w:t xml:space="preserve"> </w:t>
            </w:r>
            <w:r>
              <w:rPr>
                <w:rFonts w:ascii="Times New Roman" w:hAnsi="Times New Roman" w:cs="Times New Roman"/>
                <w:color w:val="#000000"/>
                <w:sz w:val="18"/>
                <w:szCs w:val="18"/>
              </w:rPr>
              <w:t>кредитування</w:t>
            </w:r>
            <w:r>
              <w:rPr/>
              <w:t xml:space="preserve"> </w:t>
            </w:r>
            <w:r>
              <w:rPr>
                <w:rFonts w:ascii="Times New Roman" w:hAnsi="Times New Roman" w:cs="Times New Roman"/>
                <w:color w:val="#000000"/>
                <w:sz w:val="18"/>
                <w:szCs w:val="18"/>
              </w:rPr>
              <w:t>місцевих</w:t>
            </w:r>
            <w:r>
              <w:rPr/>
              <w:t xml:space="preserve"> </w:t>
            </w:r>
            <w:r>
              <w:rPr>
                <w:rFonts w:ascii="Times New Roman" w:hAnsi="Times New Roman" w:cs="Times New Roman"/>
                <w:color w:val="#000000"/>
                <w:sz w:val="18"/>
                <w:szCs w:val="18"/>
              </w:rPr>
              <w:t>бюджетів</w:t>
            </w:r>
            <w:r>
              <w:rPr/>
              <w:t xml:space="preserve"> </w:t>
            </w:r>
            <w:r>
              <w:rPr>
                <w:rFonts w:ascii="Times New Roman" w:hAnsi="Times New Roman" w:cs="Times New Roman"/>
                <w:b/>
                <w:color w:val="#000000"/>
                <w:sz w:val="18"/>
                <w:szCs w:val="18"/>
              </w:rPr>
              <w:t>006</w:t>
            </w:r>
            <w:r>
              <w:rPr/>
              <w:t xml:space="preserve"> </w:t>
            </w:r>
            <w:r>
              <w:rPr>
                <w:rFonts w:ascii="Times New Roman" w:hAnsi="Times New Roman" w:cs="Times New Roman"/>
                <w:b/>
                <w:color w:val="#000000"/>
                <w:sz w:val="18"/>
                <w:szCs w:val="18"/>
              </w:rPr>
              <w:t>-</w:t>
            </w:r>
            <w:r>
              <w:rPr/>
              <w:t xml:space="preserve"> </w:t>
            </w:r>
            <w:r>
              <w:rPr>
                <w:rFonts w:ascii="Times New Roman" w:hAnsi="Times New Roman" w:cs="Times New Roman"/>
                <w:b/>
                <w:color w:val="#000000"/>
                <w:sz w:val="18"/>
                <w:szCs w:val="18"/>
              </w:rPr>
              <w:t>Орган</w:t>
            </w:r>
            <w:r>
              <w:rPr/>
              <w:t xml:space="preserve"> </w:t>
            </w:r>
            <w:r>
              <w:rPr>
                <w:rFonts w:ascii="Times New Roman" w:hAnsi="Times New Roman" w:cs="Times New Roman"/>
                <w:b/>
                <w:color w:val="#000000"/>
                <w:sz w:val="18"/>
                <w:szCs w:val="18"/>
              </w:rPr>
              <w:t>з</w:t>
            </w:r>
            <w:r>
              <w:rPr/>
              <w:t xml:space="preserve"> </w:t>
            </w:r>
            <w:r>
              <w:rPr>
                <w:rFonts w:ascii="Times New Roman" w:hAnsi="Times New Roman" w:cs="Times New Roman"/>
                <w:b/>
                <w:color w:val="#000000"/>
                <w:sz w:val="18"/>
                <w:szCs w:val="18"/>
              </w:rPr>
              <w:t>питань</w:t>
            </w:r>
            <w:r>
              <w:rPr/>
              <w:t xml:space="preserve"> </w:t>
            </w:r>
            <w:r>
              <w:rPr>
                <w:rFonts w:ascii="Times New Roman" w:hAnsi="Times New Roman" w:cs="Times New Roman"/>
                <w:b/>
                <w:color w:val="#000000"/>
                <w:sz w:val="18"/>
                <w:szCs w:val="18"/>
              </w:rPr>
              <w:t>освіти</w:t>
            </w:r>
            <w:r>
              <w:rPr/>
              <w:t xml:space="preserve"> </w:t>
            </w:r>
            <w:r>
              <w:rPr>
                <w:rFonts w:ascii="Times New Roman" w:hAnsi="Times New Roman" w:cs="Times New Roman"/>
                <w:b/>
                <w:color w:val="#000000"/>
                <w:sz w:val="18"/>
                <w:szCs w:val="18"/>
              </w:rPr>
              <w:t>і</w:t>
            </w:r>
            <w:r>
              <w:rPr/>
              <w:t xml:space="preserve"> </w:t>
            </w:r>
            <w:r>
              <w:rPr>
                <w:rFonts w:ascii="Times New Roman" w:hAnsi="Times New Roman" w:cs="Times New Roman"/>
                <w:b/>
                <w:color w:val="#000000"/>
                <w:sz w:val="18"/>
                <w:szCs w:val="18"/>
              </w:rPr>
              <w:t>науки</w:t>
            </w:r>
            <w:r>
              <w:rPr/>
              <w:t xml:space="preserve"> </w:t>
            </w:r>
          </w:p>
        </w:tc>
        <w:tc>
          <w:tcPr>
            <w:tcW w:w="680.4" w:type="dxa"/>
            <w:gridSpan w:val="2"/>
            <w:tcBorders>
</w:tcBorders>
            <w:shd w:val="clear" w:color="#000000" w:fill="#FFFFFF"/>
            <w:vAlign w:val="top"/>
            <w:tcMar>
              <w:top w:w="17" w:type="dxa"/>
              <w:left w:w="38" w:type="dxa"/>
              <w:bottom w:w="17" w:type="dxa"/>
              <w:right w:w="38" w:type="dxa"/>
            </w:tcMar>
          </w:tcPr>
          <w:p/>
        </w:tc>
        <w:tc>
          <w:tcPr>
            <w:tcW w:w="680.4" w:type="dxa"/>
            <w:tcBorders>
</w:tcBorders>
            <w:shd w:val="clear" w:color="#000000" w:fill="#FFFFFF"/>
            <w:vAlign w:val="top"/>
            <w:tcMar>
              <w:top w:w="17" w:type="dxa"/>
              <w:left w:w="38" w:type="dxa"/>
              <w:bottom w:w="17" w:type="dxa"/>
              <w:right w:w="38" w:type="dxa"/>
            </w:tcMar>
          </w:tcPr>
          <w:p/>
        </w:tc>
        <w:tc>
          <w:tcPr>
            <w:tcW w:w="680.4" w:type="dxa"/>
            <w:gridSpan w:val="2"/>
            <w:tcBorders>
</w:tcBorders>
            <w:shd w:val="clear" w:color="#000000" w:fill="#FFFFFF"/>
            <w:vAlign w:val="top"/>
            <w:tcMar>
              <w:top w:w="17" w:type="dxa"/>
              <w:left w:w="38" w:type="dxa"/>
              <w:bottom w:w="17" w:type="dxa"/>
              <w:right w:w="38" w:type="dxa"/>
            </w:tcMar>
          </w:tcPr>
          <w:p/>
        </w:tc>
      </w:tr>
      <w:tr>
        <w:trPr>
          <w:trHeight w:hRule="exact" w:val="246.96"/>
        </w:trPr>
        <w:tc>
          <w:tcPr>
            <w:tcW w:w="2551.5" w:type="dxa"/>
            <w:tcBorders>
</w:tcBorders>
            <w:shd w:val="clear" w:color="#000000" w:fill="#FFFFFF"/>
            <w:vAlign w:val="center"/>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Періодичність:</w:t>
            </w:r>
            <w:r>
              <w:rPr/>
              <w:t xml:space="preserve"> </w:t>
            </w:r>
            <w:r>
              <w:rPr>
                <w:rFonts w:ascii="Times New Roman" w:hAnsi="Times New Roman" w:cs="Times New Roman"/>
                <w:b/>
                <w:color w:val="#000000"/>
                <w:sz w:val="18"/>
                <w:szCs w:val="18"/>
              </w:rPr>
              <w:t>річна</w:t>
            </w:r>
            <w:r>
              <w:rPr/>
              <w:t xml:space="preserve"> </w:t>
            </w:r>
          </w:p>
        </w:tc>
        <w:tc>
          <w:tcPr>
            <w:tcW w:w="4252.5" w:type="dxa"/>
            <w:gridSpan w:val="5"/>
            <w:tcBorders>
</w:tcBorders>
            <w:shd w:val="clear" w:color="#000000" w:fill="#FFFFFF"/>
            <w:vAlign w:val="center"/>
            <w:tcMar>
              <w:top w:w="17" w:type="dxa"/>
              <w:left w:w="38" w:type="dxa"/>
              <w:bottom w:w="17" w:type="dxa"/>
              <w:right w:w="38" w:type="dxa"/>
            </w:tcMar>
          </w:tcPr>
          <w:p/>
        </w:tc>
        <w:tc>
          <w:tcPr>
            <w:tcW w:w="1349.4" w:type="dxa"/>
            <w:gridSpan w:val="2"/>
            <w:tcBorders>
</w:tcBorders>
            <w:shd w:val="clear" w:color="#000000" w:fill="#FFFFFF"/>
            <w:vAlign w:val="center"/>
            <w:tcMar>
              <w:top w:w="17" w:type="dxa"/>
              <w:left w:w="38" w:type="dxa"/>
              <w:bottom w:w="17" w:type="dxa"/>
              <w:right w:w="38" w:type="dxa"/>
            </w:tcMar>
          </w:tcPr>
          <w:p/>
        </w:tc>
        <w:tc>
          <w:tcPr>
            <w:tcW w:w="680.4" w:type="dxa"/>
            <w:gridSpan w:val="2"/>
            <w:tcBorders>
</w:tcBorders>
            <w:shd w:val="clear" w:color="#000000" w:fill="#FFFFFF"/>
            <w:vAlign w:val="center"/>
            <w:tcMar>
              <w:top w:w="17" w:type="dxa"/>
              <w:left w:w="38" w:type="dxa"/>
              <w:bottom w:w="17" w:type="dxa"/>
              <w:right w:w="38" w:type="dxa"/>
            </w:tcMar>
          </w:tcPr>
          <w:p/>
        </w:tc>
        <w:tc>
          <w:tcPr>
            <w:tcW w:w="680.4" w:type="dxa"/>
            <w:tcBorders>
</w:tcBorders>
            <w:shd w:val="clear" w:color="#000000" w:fill="#FFFFFF"/>
            <w:vAlign w:val="center"/>
            <w:tcMar>
              <w:top w:w="17" w:type="dxa"/>
              <w:left w:w="38" w:type="dxa"/>
              <w:bottom w:w="17" w:type="dxa"/>
              <w:right w:w="38" w:type="dxa"/>
            </w:tcMar>
          </w:tcPr>
          <w:p/>
        </w:tc>
        <w:tc>
          <w:tcPr>
            <w:tcW w:w="680.4" w:type="dxa"/>
            <w:gridSpan w:val="2"/>
            <w:tcBorders>
</w:tcBorders>
            <w:shd w:val="clear" w:color="#000000" w:fill="#FFFFFF"/>
            <w:vAlign w:val="center"/>
            <w:tcMar>
              <w:top w:w="17" w:type="dxa"/>
              <w:left w:w="38" w:type="dxa"/>
              <w:bottom w:w="17" w:type="dxa"/>
              <w:right w:w="38" w:type="dxa"/>
            </w:tcMar>
          </w:tcPr>
          <w:p/>
        </w:tc>
      </w:tr>
      <w:tr>
        <w:trPr>
          <w:trHeight w:hRule="exact" w:val="302.0848"/>
        </w:trPr>
        <w:tc>
          <w:tcPr>
            <w:tcW w:w="2552" w:type="dxa"/>
          </w:tcPr>
          <w:p/>
        </w:tc>
        <w:tc>
          <w:tcPr>
            <w:tcW w:w="891" w:type="dxa"/>
          </w:tcPr>
          <w:p/>
        </w:tc>
        <w:tc>
          <w:tcPr>
            <w:tcW w:w="1033" w:type="dxa"/>
          </w:tcPr>
          <w:p/>
        </w:tc>
        <w:tc>
          <w:tcPr>
            <w:tcW w:w="1195" w:type="dxa"/>
          </w:tcPr>
          <w:p/>
        </w:tc>
        <w:tc>
          <w:tcPr>
            <w:tcW w:w="973" w:type="dxa"/>
          </w:tcPr>
          <w:p/>
        </w:tc>
        <w:tc>
          <w:tcPr>
            <w:tcW w:w="161" w:type="dxa"/>
          </w:tcPr>
          <w:p/>
        </w:tc>
        <w:tc>
          <w:tcPr>
            <w:tcW w:w="644" w:type="dxa"/>
          </w:tcPr>
          <w:p/>
        </w:tc>
        <w:tc>
          <w:tcPr>
            <w:tcW w:w="705" w:type="dxa"/>
          </w:tcPr>
          <w:p/>
        </w:tc>
        <w:tc>
          <w:tcPr>
            <w:tcW w:w="352" w:type="dxa"/>
          </w:tcPr>
          <w:p/>
        </w:tc>
        <w:tc>
          <w:tcPr>
            <w:tcW w:w="329" w:type="dxa"/>
          </w:tcPr>
          <w:p/>
        </w:tc>
        <w:tc>
          <w:tcPr>
            <w:tcW w:w="680" w:type="dxa"/>
          </w:tcPr>
          <w:p/>
        </w:tc>
        <w:tc>
          <w:tcPr>
            <w:tcW w:w="408" w:type="dxa"/>
          </w:tcPr>
          <w:p/>
        </w:tc>
        <w:tc>
          <w:tcPr>
            <w:tcW w:w="272" w:type="dxa"/>
          </w:tcPr>
          <w:p/>
        </w:tc>
      </w:tr>
      <w:tr>
        <w:trPr>
          <w:trHeight w:hRule="exact" w:val="329.2799"/>
        </w:trPr>
        <w:tc>
          <w:tcPr>
            <w:tcW w:w="5670"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Короткий опис основної діяльності установи</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Найменування органу, якому підпорядкована установа</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b/>
                <w:color w:val="#000000"/>
                <w:sz w:val="12"/>
                <w:szCs w:val="12"/>
              </w:rPr>
              <w:t> Середня чисельність працівників</w:t>
            </w:r>
          </w:p>
        </w:tc>
      </w:tr>
      <w:tr>
        <w:trPr>
          <w:trHeight w:hRule="exact" w:val="166.6979"/>
        </w:trPr>
        <w:tc>
          <w:tcPr>
            <w:tcW w:w="5670"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1</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2</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Mar>
              <w:top w:w="17" w:type="dxa"/>
              <w:left w:w="38" w:type="dxa"/>
              <w:bottom w:w="17" w:type="dxa"/>
              <w:right w:w="38" w:type="dxa"/>
            </w:tcMar>
          </w:tcPr>
          <w:p>
            <w:pPr>
              <w:jc w:val="center"/>
              <w:spacing w:after="0" w:line="120" w:lineRule="auto"/>
              <w:rPr>
                <w:sz w:val="10"/>
                <w:szCs w:val="10"/>
              </w:rPr>
            </w:pPr>
            <w:r>
              <w:rPr>
                <w:rFonts w:ascii="Times New Roman" w:hAnsi="Times New Roman" w:cs="Times New Roman"/>
                <w:color w:val="#000000"/>
                <w:sz w:val="10"/>
                <w:szCs w:val="10"/>
              </w:rPr>
              <w:t> 3</w:t>
            </w:r>
          </w:p>
        </w:tc>
      </w:tr>
      <w:tr>
        <w:trPr>
          <w:trHeight w:hRule="exact" w:val="329.2799"/>
        </w:trPr>
        <w:tc>
          <w:tcPr>
            <w:tcW w:w="5670" w:type="dxa"/>
            <w:gridSpan w:val="4"/>
            <w:tcBorders>
              <w:top w:val="single" w:sz="8" w:space="0" w:color="#000000"/>
              <w:left w:val="single" w:sz="8" w:space="0" w:color="#000000"/>
              <w:bottom w:val="single" w:sz="8" w:space="0" w:color="#000000"/>
              <w:right w:val="single" w:sz="8" w:space="0" w:color="#000000"/>
            </w:tcBorders>
            <w:shd w:val="clear" w:color="#000000" w:fill="#FFFFFF"/>
            <w:vAlign w:val="top"/>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Заклад длшкільної освіти №8 Коростишівської міської ради</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vAlign w:val="top"/>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color w:val="#000000"/>
                <w:sz w:val="12"/>
                <w:szCs w:val="12"/>
              </w:rPr>
              <w:t> Управління освіти ,молоді та спорту Коростишівської міської ради</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vAlign w:val="top"/>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color w:val="#000000"/>
                <w:sz w:val="12"/>
                <w:szCs w:val="12"/>
              </w:rPr>
              <w:t> 43</w:t>
            </w:r>
          </w:p>
        </w:tc>
      </w:tr>
      <w:tr>
        <w:trPr>
          <w:trHeight w:hRule="exact" w:val="277.8304"/>
        </w:trPr>
        <w:tc>
          <w:tcPr>
            <w:tcW w:w="2552" w:type="dxa"/>
          </w:tcPr>
          <w:p/>
        </w:tc>
        <w:tc>
          <w:tcPr>
            <w:tcW w:w="891" w:type="dxa"/>
          </w:tcPr>
          <w:p/>
        </w:tc>
        <w:tc>
          <w:tcPr>
            <w:tcW w:w="1033" w:type="dxa"/>
          </w:tcPr>
          <w:p/>
        </w:tc>
        <w:tc>
          <w:tcPr>
            <w:tcW w:w="1195" w:type="dxa"/>
          </w:tcPr>
          <w:p/>
        </w:tc>
        <w:tc>
          <w:tcPr>
            <w:tcW w:w="973" w:type="dxa"/>
          </w:tcPr>
          <w:p/>
        </w:tc>
        <w:tc>
          <w:tcPr>
            <w:tcW w:w="161" w:type="dxa"/>
          </w:tcPr>
          <w:p/>
        </w:tc>
        <w:tc>
          <w:tcPr>
            <w:tcW w:w="644" w:type="dxa"/>
          </w:tcPr>
          <w:p/>
        </w:tc>
        <w:tc>
          <w:tcPr>
            <w:tcW w:w="705" w:type="dxa"/>
          </w:tcPr>
          <w:p/>
        </w:tc>
        <w:tc>
          <w:tcPr>
            <w:tcW w:w="352" w:type="dxa"/>
          </w:tcPr>
          <w:p/>
        </w:tc>
        <w:tc>
          <w:tcPr>
            <w:tcW w:w="329" w:type="dxa"/>
          </w:tcPr>
          <w:p/>
        </w:tc>
        <w:tc>
          <w:tcPr>
            <w:tcW w:w="680" w:type="dxa"/>
          </w:tcPr>
          <w:p/>
        </w:tc>
        <w:tc>
          <w:tcPr>
            <w:tcW w:w="408" w:type="dxa"/>
          </w:tcPr>
          <w:p/>
        </w:tc>
        <w:tc>
          <w:tcPr>
            <w:tcW w:w="272" w:type="dxa"/>
          </w:tcPr>
          <w:p/>
        </w:tc>
      </w:tr>
      <w:tr>
        <w:trPr>
          <w:trHeight w:hRule="exact" w:val="3846.109"/>
        </w:trPr>
        <w:tc>
          <w:tcPr>
            <w:tcW w:w="10206" w:type="dxa"/>
            <w:gridSpan w:val="13"/>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Облік грошових коштів Всього на рахунках, відкритих в Казначействі станом на 01.01.2025-року обліковується залишок 11924,00гривень. Для проведення операцій з коштами загального фонду ЗДО має відкриті реєстраційні рахунки (за КПКВК 0611010,06110200) в Казначействі. Залишок коштів на реєстраційних рахунках загального фонду станом на 01.01.2025року відсутній, тому у графі 9 «Залишок на кінець звітного періоду (року)» зведеного звіту форми № 2м «Звіт про надходження та використання коштів загального фонду» не наведено залишок коштів на кінець звітного періоду на реєстраційних рахунках. Залишок коштів на 01.01.2025р.на спеціальному рахунку відповідно до поданого звіту (форма№4-1м), за КПКВК 0611010 становить 11924,00 грн., . Станом на 01.01.2025року залишок відповідно до поданого звіту форми № 4-1м «Звіт про надходження і використання коштів, отриманих як плата за послуги» наведено залишок коштів на реєстраційних рахунках на кінець звітного періоду у сумі 11924,00 гривень.Залишок коштів на 01.01.2026року - 1533.00.на спеціальному рахунку відповідно до поданого звіту (форма№4-1м), за КПКВК 0611010 становить 1533.00 грн., . Станом на 01.01.2026року залишок відповідно до поданого звіту форми № 4-1м «Звіт про надходження і використання коштів, отриманих як плата за послуги» наведено залишок коштів на реєстраційних рахунках на кінець звітного періоду у сумі 1533.00гривень. Крім того, ЗДО має відкриті інші рахунки в органах Казначейства, Сума залишку станом на 01.01.2026року на небюджетному рахунку 3711 Для проведення операцій за розрахунками з виплати допомоги у зв’язку з тимчасовою втратою працездатності, що здійснюються за рахунок коштів ФСС на випадок тимчасової втрати працездатності 0,00 грн.</w:t>
            </w:r>
          </w:p>
        </w:tc>
      </w:tr>
      <w:tr>
        <w:trPr>
          <w:trHeight w:hRule="exact" w:val="2268.503"/>
        </w:trPr>
        <w:tc>
          <w:tcPr>
            <w:tcW w:w="10206" w:type="dxa"/>
            <w:gridSpan w:val="13"/>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Облік доходів Доходи за бюджетними асигнуваннями У графі 7 «Надійшло коштів за звітний період (рік)» зведеного звіту форми № 2м «Звіт про надходження та використання коштів загального фонду» відображена сума 8046765,43 гривень та складається із коштів загального фонду, отриманих для здійснення видатків в сумі 8076951,43 грн та із коштів спеціального фонду, отриманих для здійснення видатків в сумі 14314,00 грн  . У рядку 2010 «Бюджетні асигнування» розділу І Фінансовий результат діяльності форми № 2-дс «Звіт про фінансовий результат» відображена сума отриманих асигнувань для здійснення поточних видатків по загальному та спеціальному  фондах та складає 8046765,43грн. Власні надходження У графі 9 «Надійшло коштів за звітний період (рік)» зведеного «Звіту про надходження і використання коштів, отриманих як плата за послуги» (форма № 4-1м) відображена сума 333063,34 грн.(в т.ч. 124,34 від реалізації в установленому порядку майна(крім нерухомого майна))</w:t>
            </w:r>
          </w:p>
        </w:tc>
      </w:tr>
      <w:tr>
        <w:trPr>
          <w:trHeight w:hRule="exact" w:val="2043.153"/>
        </w:trPr>
        <w:tc>
          <w:tcPr>
            <w:tcW w:w="10206" w:type="dxa"/>
            <w:gridSpan w:val="13"/>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Облік витрат Касові витрати за звітний період зведених бюджетних форм складають 8434719,77 грн.: - форма № 2м «Звіт про надходження та використання коштів загального фонду» - 8076951,43 грн.; - форма № 4-1м,4-2м «Звіту про надходження і використання коштів, отриманих як плата за послуги» -343454,34грн.; форма № 4-3м, «Звіту про надходження і використання іншиш надходжень спеціального фонду» -14314,00грн.; сума витрат, відображених у зазначених формах бюджетної звітності знайшла своє відображення у рядку 2380 «Усього витрат» розділу І «Фінансовий результат діяльності» форми № 2-дс «Звіт про фінансовий результат», у тому числі: - витрати на відрядження (КЕКВ 2250) та інші поточні видатки (КЕКВ 2800), які відображені у рядку 2250 «Інші витрати за обмінними операціями» розділу І «Фінансовий результат діяльності» форми №2-дс «Звіт про фінансовий результат», –0,00 грн. та 0,00грн. відповідно.</w:t>
            </w:r>
          </w:p>
        </w:tc>
      </w:tr>
      <w:tr>
        <w:trPr>
          <w:trHeight w:hRule="exact" w:val="830.55"/>
        </w:trPr>
        <w:tc>
          <w:tcPr>
            <w:tcW w:w="10206" w:type="dxa"/>
            <w:gridSpan w:val="13"/>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Облік розрахунків Розрахунки по загальному фонду Згідно зведеного «Звіту про заборгованість за бюджетними коштами» (форма № 7м) за загальним фондом дебіторська заборгованість станом на 01.01.2025 року склала 74492,50 грн. Уся дебіторська заборгованість обліковується за КПКВК 0611010 «Надання дошкільної</w:t>
            </w:r>
          </w:p>
        </w:tc>
      </w:tr>
      <w:tr>
        <w:trPr>
          <w:trHeight w:hRule="exact" w:val="1166.886"/>
        </w:trPr>
        <w:tc>
          <w:tcPr>
            <w:tcW w:w="2552" w:type="dxa"/>
          </w:tcPr>
          <w:p/>
        </w:tc>
        <w:tc>
          <w:tcPr>
            <w:tcW w:w="891" w:type="dxa"/>
          </w:tcPr>
          <w:p/>
        </w:tc>
        <w:tc>
          <w:tcPr>
            <w:tcW w:w="1033" w:type="dxa"/>
          </w:tcPr>
          <w:p/>
        </w:tc>
        <w:tc>
          <w:tcPr>
            <w:tcW w:w="1195" w:type="dxa"/>
          </w:tcPr>
          <w:p/>
        </w:tc>
        <w:tc>
          <w:tcPr>
            <w:tcW w:w="973" w:type="dxa"/>
          </w:tcPr>
          <w:p/>
        </w:tc>
        <w:tc>
          <w:tcPr>
            <w:tcW w:w="161" w:type="dxa"/>
          </w:tcPr>
          <w:p/>
        </w:tc>
        <w:tc>
          <w:tcPr>
            <w:tcW w:w="644" w:type="dxa"/>
          </w:tcPr>
          <w:p/>
        </w:tc>
        <w:tc>
          <w:tcPr>
            <w:tcW w:w="705" w:type="dxa"/>
          </w:tcPr>
          <w:p/>
        </w:tc>
        <w:tc>
          <w:tcPr>
            <w:tcW w:w="352" w:type="dxa"/>
          </w:tcPr>
          <w:p/>
        </w:tc>
        <w:tc>
          <w:tcPr>
            <w:tcW w:w="329" w:type="dxa"/>
          </w:tcPr>
          <w:p/>
        </w:tc>
        <w:tc>
          <w:tcPr>
            <w:tcW w:w="1134" w:type="dxa"/>
            <w:gridSpan w:val="2"/>
            <w:tcBorders>
</w:tcBorders>
            <w:shd w:val="clear" w:color="#FFFFFF" w:fill="#FFFFFF"/>
            <w:vAlign w:val="top"/>
            <w:tcMar>
              <w:top w:w="0" w:type="dxa"/>
              <w:left w:w="4" w:type="dxa"/>
              <w:bottom w:w="0" w:type="dxa"/>
              <w:right w:w="4" w:type="dxa"/>
            </w:tcMar>
          </w:tcPr>
          <w:p>
            <w:r>
              <w:rPr>
                <w:noProof/>
              </w:rPr>
              <w:drawing>
                <wp:inline distT="0" distB="0" distL="0" distR="0">
                  <wp:extent cx="720000" cy="720000"/>
                  <wp:docPr id="1" name="1"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11"/>
                          <a:stretch>
                            <a:fillRect/>
                          </a:stretch>
                        </pic:blipFill>
                        <pic:spPr>
                          <a:xfrm>
                            <a:off x="0" y="0"/>
                            <a:ext cx="720000" cy="720000"/>
                          </a:xfrm>
                          <a:prstGeom prst="rect">
                            <a:avLst/>
                          </a:prstGeom>
                        </pic:spPr>
                      </pic:pic>
                    </a:graphicData>
                  </a:graphic>
                </wp:inline>
              </w:drawing>
            </w:r>
          </w:p>
        </w:tc>
        <w:tc>
          <w:tcPr>
            <w:tcW w:w="272" w:type="dxa"/>
          </w:tcPr>
          <w:p/>
        </w:tc>
      </w:tr>
      <w:tr>
        <w:trPr>
          <w:trHeight w:hRule="exact" w:val="361.18"/>
        </w:trPr>
        <w:tc>
          <w:tcPr>
            <w:tcW w:w="3442.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202600000053735607</w:t>
            </w:r>
          </w:p>
        </w:tc>
        <w:tc>
          <w:tcPr>
            <w:tcW w:w="1032.75" w:type="dxa"/>
            <w:tcBorders>
              <w:top w:val="double" w:sz="8" w:space="0" w:color="#D3D3D3"/>
            </w:tcBorders>
            <w:shd w:val="clear" w:color="#D3D3D3" w:fill="#FFFFFF"/>
            <w:vAlign w:val="center"/>
            <w:tcMar>
              <w:top w:w="17" w:type="dxa"/>
              <w:left w:w="38" w:type="dxa"/>
              <w:bottom w:w="17" w:type="dxa"/>
              <w:right w:w="38" w:type="dxa"/>
            </w:tcMar>
          </w:tcPr>
          <w:p/>
        </w:tc>
        <w:tc>
          <w:tcPr>
            <w:tcW w:w="2167.5" w:type="dxa"/>
            <w:gridSpan w:val="2"/>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АС  " Є-ЗВІТНІСТЬ "</w:t>
            </w:r>
          </w:p>
        </w:tc>
        <w:tc>
          <w:tcPr>
            <w:tcW w:w="805.2" w:type="dxa"/>
            <w:gridSpan w:val="2"/>
            <w:tcBorders>
              <w:top w:val="double" w:sz="8" w:space="0" w:color="#D3D3D3"/>
            </w:tcBorders>
            <w:shd w:val="clear" w:color="#D3D3D3" w:fill="#FFFFFF"/>
            <w:vAlign w:val="center"/>
            <w:tcMar>
              <w:top w:w="17" w:type="dxa"/>
              <w:left w:w="38" w:type="dxa"/>
              <w:bottom w:w="17" w:type="dxa"/>
              <w:right w:w="38" w:type="dxa"/>
            </w:tcMar>
          </w:tcPr>
          <w:p/>
        </w:tc>
        <w:tc>
          <w:tcPr>
            <w:tcW w:w="2750.7" w:type="dxa"/>
            <w:gridSpan w:val="6"/>
            <w:tcBorders>
              <w:top w:val="double" w:sz="8" w:space="0" w:color="#D3D3D3"/>
            </w:tcBorders>
            <w:shd w:val="clear" w:color="#D3D3D3"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i/>
                <w:color w:val="#D3D3D3"/>
                <w:sz w:val="12"/>
                <w:szCs w:val="12"/>
              </w:rPr>
              <w:t> ст. 1 з 2</w:t>
            </w:r>
          </w:p>
        </w:tc>
      </w:tr>
    </w:tbl>
    <w:p>
      <w:pPr>
        <w:rPr>
          <w:sz w:val="0"/>
          <w:szCs w:val="0"/>
        </w:rPr>
      </w:pPr>
      <w:r>
        <w:br w:type="page"/>
      </w:r>
    </w:p>
    <w:tbl>
      <w:tblPr>
        <w:tblW w:w="0" w:type="auto"/>
        <w:tblCellMar>
          <w:left w:w="0" w:type="dxa"/>
          <w:right w:w="0" w:type="dxa"/>
        </w:tblCellMar>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67"/>
        <w:gridCol w:w="992"/>
        <w:gridCol w:w="737"/>
        <w:gridCol w:w="1146"/>
        <w:gridCol w:w="203"/>
        <w:gridCol w:w="830"/>
        <w:gridCol w:w="520"/>
        <w:gridCol w:w="1349"/>
        <w:gridCol w:w="298"/>
        <w:gridCol w:w="805"/>
        <w:gridCol w:w="246"/>
        <w:gridCol w:w="1095"/>
        <w:gridCol w:w="255"/>
        <w:gridCol w:w="760"/>
        <w:gridCol w:w="403"/>
      </w:tblGrid>
      <w:tr>
        <w:trPr>
          <w:trHeight w:hRule="exact" w:val="5423.859"/>
        </w:trPr>
        <w:tc>
          <w:tcPr>
            <w:tcW w:w="10206" w:type="dxa"/>
            <w:gridSpan w:val="15"/>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освіти». Заборгованість по розрахунках за виданими авансами складає в сум 74492,50 грн (КЕКВ 2274). - попередня оплата за природний газ за грудень 2024 року.Погашена сума протягом січня 2025р. Станом на 01.01.2025року прострочена дебіторська заборгованість відсутня -Відсутні зобов"язання без відповідних бюджетних асигнувань або перевищення повноважень. В установі не ліквідовувались та створювались структурні одиниці. В установі в січні 2025 року було повернення коштів від постачальника природного газу зайво сплачених коштів . Перерахування проводимо на підставі платіжної інструкції за кодом класифікації доходів 24060300. Після повернення зайво сплачених коштів проводимо коригування субрахунку 5512 " Накопичені фінансові результати киконання кошторису". Адже витрати понесені установою при оплаті ,свого часу,були віднесені фінансовий результат виконання кошторису . Тому фінансовий результат необхідно збільшити на суму повернутих коштів . Сума повернутих коштів складає 15903,33грн. Станом на 01.01.2025року відсутня кредиторська та дебіторська заборгованість перед ФССНВ. Розрахунки по загальному фонду Згідно зведеного «Звіту про заборгованість за бюджетними коштами» (форма № 7м) за загальним фондом дебіторська заборгованість станом на 01.01.2026 року склала в сумі 68210,39 грн.( попередня оплата за природний газ за грудень 2025 року). Заборгованість буде погашена протягом січня 2026 року.  По спеціальному фонду Згідно зведеного «Звіту про заборгованість за бюджетними коштами» (форма № 7м), за спеціальним фондом дебіторська заборгованість станом на 01.01.2026р. відсутня. Кредиторська заборгованість за бюджетними коштами за спеціальним фондом станом на 01.01.2025 року склала 51969,69грн. В тому числі: за доходами – 51969,69грн. – переплата батьками дітей за відвідування дітьми ЗДО; Кредиторська заборгованість за бюджетними коштами за спеціальним фондом станом на 01.01.2026 року склала 81648,78грн. В тому числі: за доходами –81648,78грн. – переплата батьками дітей за відвідування дітьми ЗДО; Прострочена кредиторська заборгованість за спеціальним фондом відсутня Фінансовий результат У графі 4 рядка 1420 «Фінансовий результат» Пасиву Балансу (форма № 1-дс) відображено фінансовий результат виконання кошторису станом на кінець звітного періоду у сумі -113348,00 грн., який складається із: - накопиченого результату минулого періоду – 8540,00 грн.; - фінансового результату виконання кошторису звітного періоду - 113348,00 гривень.</w:t>
            </w:r>
          </w:p>
        </w:tc>
      </w:tr>
      <w:tr>
        <w:trPr>
          <w:trHeight w:hRule="exact" w:val="2043.153"/>
        </w:trPr>
        <w:tc>
          <w:tcPr>
            <w:tcW w:w="10206" w:type="dxa"/>
            <w:gridSpan w:val="15"/>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Фінансовий результат (форма № 2-дс) Фінансовий результат виконання кошторису звітного періоду  - 109048,00 грн. (рядок 2390 “Профіцит/дефіцит за звітний період” розділу І. На зміна накопиченого фінансовго результату виконання кошторису у звітному періоді вплинуло: списання матеріалів на суму 3063,20 грн та повернення коштів на рахунок закладу в січні 2025 року за невикористаний газ в сумі 15903,33грн. Фінансовий результат станом на кінець звітного періоду -113348,00рн. (графа 4 рядка 1420 “Фінансовий результат” Пасиву Балансу (форма № 1-дс) .У звіті про власний капітал Форма№4 -дс у рядку 4290 у графі 3 відображено сума 41437,00 грн( вартість придбання малоцінних необоротних матеріальних активів в  сумі 44500,00  мінус  списання в сумі 3063,00) графі 5 відображено суму коштів минулих періодів(повернення коштів Нафтогаз та списання МНМА).</w:t>
            </w:r>
          </w:p>
        </w:tc>
      </w:tr>
      <w:tr>
        <w:trPr>
          <w:trHeight w:hRule="exact" w:val="1592.303"/>
        </w:trPr>
        <w:tc>
          <w:tcPr>
            <w:tcW w:w="10206" w:type="dxa"/>
            <w:gridSpan w:val="15"/>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Доходи: У рядку 2010 “Бюджетні асигнування” частини І. Фінансовий результат діяльності Звіту про фінансові результати діяльності (Форма № 2-дс) відображена сума 8046765,00 грн., із них: - отримано бюджетних асигнувань загального фонду в звітному періоді –8046765,00 грн. за мінусом вилученого з бюджетних асигнувань цільового фінансування на суму поточних витрат, що включаються до вартості об’єкта необоротних активів – 44500,00 грн. , У рядку 2020 “Доходи від надання послуг (виконання робіт)” відображена сума 303260,00 грн., в тому числі: - плата за послуги, що надаються бюджетною установою згідно з їх основною діяльністю – 303260,00грн.</w:t>
            </w:r>
          </w:p>
        </w:tc>
      </w:tr>
      <w:tr>
        <w:trPr>
          <w:trHeight w:hRule="exact" w:val="916.2521"/>
        </w:trPr>
        <w:tc>
          <w:tcPr>
            <w:tcW w:w="10206" w:type="dxa"/>
            <w:gridSpan w:val="15"/>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Витрати: Загальна сума витрат, відображена у рядку 2380 “Усього витрат” звіту 2-дс –8459197,00 грн., в тому числі: - витрати за обмінними операціями (дані рядка 2290) – 8459197,00 грн.;  витрати на оплату праці – 5612811,45грн., - відрахування на соціальні заходи –1128895,33грн., - матеріальні витрати – 1681454грн.,амортизаця - 36037,00.</w:t>
            </w:r>
          </w:p>
        </w:tc>
      </w:tr>
      <w:tr>
        <w:trPr>
          <w:trHeight w:hRule="exact" w:val="240.0504"/>
        </w:trPr>
        <w:tc>
          <w:tcPr>
            <w:tcW w:w="10206" w:type="dxa"/>
            <w:gridSpan w:val="15"/>
            <w:tcBorders>
</w:tcBorders>
            <w:shd w:val="clear" w:color="#000000" w:fill="#FFFFFF"/>
            <w:vAlign w:val="top"/>
            <w:tcMar>
              <w:top w:w="0" w:type="dxa"/>
              <w:left w:w="38" w:type="dxa"/>
              <w:bottom w:w="0" w:type="dxa"/>
              <w:right w:w="38" w:type="dxa"/>
            </w:tcMar>
          </w:tcPr>
          <w:p>
            <w:pPr>
              <w:jc w:val="both"/>
              <w:spacing w:after="0" w:line="240" w:lineRule="auto"/>
              <w:rPr>
                <w:sz w:val="20"/>
                <w:szCs w:val="20"/>
              </w:rPr>
            </w:pPr>
            <w:r>
              <w:rPr>
                <w:rFonts w:ascii="Times New Roman" w:hAnsi="Times New Roman" w:cs="Times New Roman"/>
                <w:color w:val="#000000"/>
                <w:sz w:val="20"/>
                <w:szCs w:val="20"/>
              </w:rPr>
              <w:t>         Директор Олена КОХАН.</w:t>
            </w:r>
          </w:p>
        </w:tc>
      </w:tr>
      <w:tr>
        <w:trPr>
          <w:trHeight w:hRule="exact" w:val="277.8304"/>
        </w:trPr>
        <w:tc>
          <w:tcPr>
            <w:tcW w:w="567" w:type="dxa"/>
            <w:tcBorders>
</w:tcBorders>
            <w:shd w:val="clear" w:color="#000000" w:fill="#FFFFFF"/>
            <w:vAlign w:val="bottom"/>
            <w:tcMar>
              <w:top w:w="17" w:type="dxa"/>
              <w:left w:w="38" w:type="dxa"/>
              <w:bottom w:w="17" w:type="dxa"/>
              <w:right w:w="38" w:type="dxa"/>
            </w:tcMar>
          </w:tcPr>
          <w:p/>
        </w:tc>
        <w:tc>
          <w:tcPr>
            <w:tcW w:w="992.25" w:type="dxa"/>
            <w:tcBorders>
</w:tcBorders>
            <w:shd w:val="clear" w:color="#000000" w:fill="#FFFFFF"/>
            <w:vAlign w:val="top"/>
            <w:tcMar>
              <w:top w:w="17" w:type="dxa"/>
              <w:left w:w="38" w:type="dxa"/>
              <w:bottom w:w="17" w:type="dxa"/>
              <w:right w:w="38" w:type="dxa"/>
            </w:tcMar>
          </w:tcPr>
          <w:p/>
        </w:tc>
        <w:tc>
          <w:tcPr>
            <w:tcW w:w="737.1" w:type="dxa"/>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304"/>
        </w:trPr>
        <w:tc>
          <w:tcPr>
            <w:tcW w:w="567" w:type="dxa"/>
            <w:tcBorders>
</w:tcBorders>
            <w:shd w:val="clear" w:color="#000000" w:fill="#FFFFFF"/>
            <w:vAlign w:val="bottom"/>
            <w:tcMar>
              <w:top w:w="17" w:type="dxa"/>
              <w:left w:w="38" w:type="dxa"/>
              <w:bottom w:w="17" w:type="dxa"/>
              <w:right w:w="38" w:type="dxa"/>
            </w:tcMar>
          </w:tcPr>
          <w:p/>
        </w:tc>
        <w:tc>
          <w:tcPr>
            <w:tcW w:w="992.25" w:type="dxa"/>
            <w:tcBorders>
</w:tcBorders>
            <w:shd w:val="clear" w:color="#000000" w:fill="#FFFFFF"/>
            <w:vAlign w:val="top"/>
            <w:tcMar>
              <w:top w:w="17" w:type="dxa"/>
              <w:left w:w="38" w:type="dxa"/>
              <w:bottom w:w="17" w:type="dxa"/>
              <w:right w:w="38" w:type="dxa"/>
            </w:tcMar>
          </w:tcPr>
          <w:p/>
        </w:tc>
        <w:tc>
          <w:tcPr>
            <w:tcW w:w="737.1" w:type="dxa"/>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295"/>
        </w:trPr>
        <w:tc>
          <w:tcPr>
            <w:tcW w:w="567" w:type="dxa"/>
            <w:tcBorders>
</w:tcBorders>
            <w:shd w:val="clear" w:color="#000000" w:fill="#FFFFFF"/>
            <w:vAlign w:val="bottom"/>
            <w:tcMar>
              <w:top w:w="17" w:type="dxa"/>
              <w:left w:w="38" w:type="dxa"/>
              <w:bottom w:w="17" w:type="dxa"/>
              <w:right w:w="38" w:type="dxa"/>
            </w:tcMar>
          </w:tcPr>
          <w:p/>
        </w:tc>
        <w:tc>
          <w:tcPr>
            <w:tcW w:w="4428.15" w:type="dxa"/>
            <w:gridSpan w:val="6"/>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Керівник (уповноважена посадова особа)</w:t>
            </w:r>
          </w:p>
        </w:tc>
        <w:tc>
          <w:tcPr>
            <w:tcW w:w="1349.4" w:type="dxa"/>
            <w:tcBorders>
</w:tcBorders>
            <w:shd w:val="clear" w:color="#000000" w:fill="#FFFFFF"/>
            <w:vAlign w:val="top"/>
            <w:tcMar>
              <w:top w:w="17" w:type="dxa"/>
              <w:left w:w="38" w:type="dxa"/>
              <w:bottom w:w="17" w:type="dxa"/>
              <w:right w:w="38" w:type="dxa"/>
            </w:tcMar>
          </w:tcPr>
          <w:p/>
        </w:tc>
        <w:tc>
          <w:tcPr>
            <w:tcW w:w="2698.8"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Олена КОХАН</w:t>
            </w: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304"/>
        </w:trPr>
        <w:tc>
          <w:tcPr>
            <w:tcW w:w="567" w:type="dxa"/>
            <w:tcBorders>
</w:tcBorders>
            <w:shd w:val="clear" w:color="#000000" w:fill="#FFFFFF"/>
            <w:vAlign w:val="bottom"/>
            <w:tcMar>
              <w:top w:w="17" w:type="dxa"/>
              <w:left w:w="38" w:type="dxa"/>
              <w:bottom w:w="17" w:type="dxa"/>
              <w:right w:w="38" w:type="dxa"/>
            </w:tcMar>
          </w:tcPr>
          <w:p/>
        </w:tc>
        <w:tc>
          <w:tcPr>
            <w:tcW w:w="992.25" w:type="dxa"/>
            <w:tcBorders>
</w:tcBorders>
            <w:shd w:val="clear" w:color="#000000" w:fill="#FFFFFF"/>
            <w:vAlign w:val="bottom"/>
            <w:tcMar>
              <w:top w:w="17" w:type="dxa"/>
              <w:left w:w="38" w:type="dxa"/>
              <w:bottom w:w="17" w:type="dxa"/>
              <w:right w:w="38" w:type="dxa"/>
            </w:tcMar>
          </w:tcPr>
          <w:p/>
        </w:tc>
        <w:tc>
          <w:tcPr>
            <w:tcW w:w="737.1" w:type="dxa"/>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295"/>
        </w:trPr>
        <w:tc>
          <w:tcPr>
            <w:tcW w:w="567" w:type="dxa"/>
            <w:tcBorders>
</w:tcBorders>
            <w:shd w:val="clear" w:color="#000000" w:fill="#FFFFFF"/>
            <w:vAlign w:val="top"/>
            <w:tcMar>
              <w:top w:w="17" w:type="dxa"/>
              <w:left w:w="38" w:type="dxa"/>
              <w:bottom w:w="17" w:type="dxa"/>
              <w:right w:w="38" w:type="dxa"/>
            </w:tcMar>
          </w:tcPr>
          <w:p/>
        </w:tc>
        <w:tc>
          <w:tcPr>
            <w:tcW w:w="992.25" w:type="dxa"/>
            <w:tcBorders>
</w:tcBorders>
            <w:shd w:val="clear" w:color="#000000" w:fill="#FFFFFF"/>
            <w:vAlign w:val="top"/>
            <w:tcMar>
              <w:top w:w="17" w:type="dxa"/>
              <w:left w:w="38" w:type="dxa"/>
              <w:bottom w:w="17" w:type="dxa"/>
              <w:right w:w="38" w:type="dxa"/>
            </w:tcMar>
          </w:tcPr>
          <w:p/>
        </w:tc>
        <w:tc>
          <w:tcPr>
            <w:tcW w:w="737.1" w:type="dxa"/>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674.7303"/>
        </w:trPr>
        <w:tc>
          <w:tcPr>
            <w:tcW w:w="567" w:type="dxa"/>
            <w:tcBorders>
</w:tcBorders>
            <w:shd w:val="clear" w:color="#000000" w:fill="#FFFFFF"/>
            <w:vAlign w:val="bottom"/>
            <w:tcMar>
              <w:top w:w="17" w:type="dxa"/>
              <w:left w:w="38" w:type="dxa"/>
              <w:bottom w:w="17" w:type="dxa"/>
              <w:right w:w="38" w:type="dxa"/>
            </w:tcMar>
          </w:tcPr>
          <w:p/>
        </w:tc>
        <w:tc>
          <w:tcPr>
            <w:tcW w:w="4428.15" w:type="dxa"/>
            <w:gridSpan w:val="6"/>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color w:val="#000000"/>
                <w:sz w:val="18"/>
                <w:szCs w:val="18"/>
              </w:rPr>
              <w:t> Головний бухгалтер (спеціаліст,</w:t>
            </w:r>
          </w:p>
          <w:p>
            <w:pPr>
              <w:jc w:val="left"/>
              <w:spacing w:after="0" w:line="210" w:lineRule="auto"/>
              <w:rPr>
                <w:sz w:val="18"/>
                <w:szCs w:val="18"/>
              </w:rPr>
            </w:pPr>
            <w:r>
              <w:rPr>
                <w:rFonts w:ascii="Times New Roman" w:hAnsi="Times New Roman" w:cs="Times New Roman"/>
                <w:color w:val="#000000"/>
                <w:sz w:val="18"/>
                <w:szCs w:val="18"/>
              </w:rPr>
              <w:t> на якого покладено виконання обов’язків</w:t>
            </w:r>
          </w:p>
          <w:p>
            <w:pPr>
              <w:jc w:val="left"/>
              <w:spacing w:after="0" w:line="210" w:lineRule="auto"/>
              <w:rPr>
                <w:sz w:val="18"/>
                <w:szCs w:val="18"/>
              </w:rPr>
            </w:pPr>
            <w:r>
              <w:rPr>
                <w:rFonts w:ascii="Times New Roman" w:hAnsi="Times New Roman" w:cs="Times New Roman"/>
                <w:color w:val="#000000"/>
                <w:sz w:val="18"/>
                <w:szCs w:val="18"/>
              </w:rPr>
              <w:t> бухгалтерської служби)</w:t>
            </w:r>
          </w:p>
        </w:tc>
        <w:tc>
          <w:tcPr>
            <w:tcW w:w="1349.4" w:type="dxa"/>
            <w:tcBorders>
</w:tcBorders>
            <w:shd w:val="clear" w:color="#000000" w:fill="#FFFFFF"/>
            <w:vAlign w:val="top"/>
            <w:tcMar>
              <w:top w:w="17" w:type="dxa"/>
              <w:left w:w="38" w:type="dxa"/>
              <w:bottom w:w="17" w:type="dxa"/>
              <w:right w:w="38" w:type="dxa"/>
            </w:tcMar>
          </w:tcPr>
          <w:p/>
        </w:tc>
        <w:tc>
          <w:tcPr>
            <w:tcW w:w="2698.8" w:type="dxa"/>
            <w:gridSpan w:val="5"/>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u w:val="single"/>
                <w:color w:val="#000000"/>
                <w:sz w:val="18"/>
                <w:szCs w:val="18"/>
              </w:rPr>
              <w:t> Олена ЗОЛЕНКО</w:t>
            </w: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295"/>
        </w:trPr>
        <w:tc>
          <w:tcPr>
            <w:tcW w:w="567" w:type="dxa"/>
            <w:tcBorders>
</w:tcBorders>
            <w:shd w:val="clear" w:color="#000000" w:fill="#FFFFFF"/>
            <w:vAlign w:val="bottom"/>
            <w:tcMar>
              <w:top w:w="17" w:type="dxa"/>
              <w:left w:w="38" w:type="dxa"/>
              <w:bottom w:w="17" w:type="dxa"/>
              <w:right w:w="38" w:type="dxa"/>
            </w:tcMar>
          </w:tcPr>
          <w:p/>
        </w:tc>
        <w:tc>
          <w:tcPr>
            <w:tcW w:w="992.25" w:type="dxa"/>
            <w:tcBorders>
</w:tcBorders>
            <w:shd w:val="clear" w:color="#000000" w:fill="#FFFFFF"/>
            <w:vAlign w:val="bottom"/>
            <w:tcMar>
              <w:top w:w="17" w:type="dxa"/>
              <w:left w:w="38" w:type="dxa"/>
              <w:bottom w:w="17" w:type="dxa"/>
              <w:right w:w="38" w:type="dxa"/>
            </w:tcMar>
          </w:tcPr>
          <w:p/>
        </w:tc>
        <w:tc>
          <w:tcPr>
            <w:tcW w:w="737.1" w:type="dxa"/>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349.4" w:type="dxa"/>
            <w:gridSpan w:val="2"/>
            <w:tcBorders>
</w:tcBorders>
            <w:shd w:val="clear" w:color="#000000" w:fill="#FFFFFF"/>
            <w:vAlign w:val="top"/>
            <w:tcMar>
              <w:top w:w="17" w:type="dxa"/>
              <w:left w:w="38" w:type="dxa"/>
              <w:bottom w:w="17" w:type="dxa"/>
              <w:right w:w="38" w:type="dxa"/>
            </w:tcMar>
          </w:tcPr>
          <w:p/>
        </w:tc>
        <w:tc>
          <w:tcPr>
            <w:tcW w:w="759.75" w:type="dxa"/>
            <w:tcBorders>
</w:tcBorders>
            <w:shd w:val="clear" w:color="#000000" w:fill="#FFFFFF"/>
            <w:vAlign w:val="top"/>
            <w:tcMar>
              <w:top w:w="17" w:type="dxa"/>
              <w:left w:w="38" w:type="dxa"/>
              <w:bottom w:w="17" w:type="dxa"/>
              <w:right w:w="38" w:type="dxa"/>
            </w:tcMar>
          </w:tcPr>
          <w:p/>
        </w:tc>
        <w:tc>
          <w:tcPr>
            <w:tcW w:w="396.9" w:type="dxa"/>
            <w:tcBorders>
</w:tcBorders>
            <w:shd w:val="clear" w:color="#000000" w:fill="#FFFFFF"/>
            <w:vAlign w:val="top"/>
            <w:tcMar>
              <w:top w:w="17" w:type="dxa"/>
              <w:left w:w="38" w:type="dxa"/>
              <w:bottom w:w="17" w:type="dxa"/>
              <w:right w:w="38" w:type="dxa"/>
            </w:tcMar>
          </w:tcPr>
          <w:p/>
        </w:tc>
      </w:tr>
      <w:tr>
        <w:trPr>
          <w:trHeight w:hRule="exact" w:val="277.8304"/>
        </w:trPr>
        <w:tc>
          <w:tcPr>
            <w:tcW w:w="567" w:type="dxa"/>
            <w:tcBorders>
</w:tcBorders>
            <w:shd w:val="clear" w:color="#000000" w:fill="#FFFFFF"/>
            <w:vAlign w:val="bottom"/>
            <w:tcMar>
              <w:top w:w="17" w:type="dxa"/>
              <w:left w:w="38" w:type="dxa"/>
              <w:bottom w:w="17" w:type="dxa"/>
              <w:right w:w="38" w:type="dxa"/>
            </w:tcMar>
          </w:tcPr>
          <w:p/>
        </w:tc>
        <w:tc>
          <w:tcPr>
            <w:tcW w:w="3078.75" w:type="dxa"/>
            <w:gridSpan w:val="4"/>
            <w:tcBorders>
</w:tcBorders>
            <w:shd w:val="clear" w:color="#000000" w:fill="#FFFFFF"/>
            <w:vAlign w:val="bottom"/>
            <w:tcMar>
              <w:top w:w="17" w:type="dxa"/>
              <w:left w:w="38" w:type="dxa"/>
              <w:bottom w:w="17" w:type="dxa"/>
              <w:right w:w="38" w:type="dxa"/>
            </w:tcMar>
          </w:tcPr>
          <w:p>
            <w:pPr>
              <w:jc w:val="left"/>
              <w:spacing w:after="0" w:line="210" w:lineRule="auto"/>
              <w:rPr>
                <w:sz w:val="18"/>
                <w:szCs w:val="18"/>
              </w:rPr>
            </w:pPr>
            <w:r>
              <w:rPr>
                <w:rFonts w:ascii="Times New Roman" w:hAnsi="Times New Roman" w:cs="Times New Roman"/>
                <w:i/>
                <w:color w:val="#000000"/>
                <w:sz w:val="18"/>
                <w:szCs w:val="18"/>
              </w:rPr>
              <w:t> " 15 " січня 2026р.</w:t>
            </w:r>
          </w:p>
        </w:tc>
        <w:tc>
          <w:tcPr>
            <w:tcW w:w="1349.4" w:type="dxa"/>
            <w:gridSpan w:val="2"/>
            <w:tcBorders>
</w:tcBorders>
            <w:shd w:val="clear" w:color="#000000" w:fill="#FFFFFF"/>
            <w:vAlign w:val="bottom"/>
            <w:tcMar>
              <w:top w:w="17" w:type="dxa"/>
              <w:left w:w="38" w:type="dxa"/>
              <w:bottom w:w="17" w:type="dxa"/>
              <w:right w:w="38" w:type="dxa"/>
            </w:tcMar>
          </w:tcPr>
          <w:p/>
        </w:tc>
        <w:tc>
          <w:tcPr>
            <w:tcW w:w="1349.4" w:type="dxa"/>
            <w:tcBorders>
</w:tcBorders>
            <w:shd w:val="clear" w:color="#000000" w:fill="#FFFFFF"/>
            <w:vAlign w:val="top"/>
            <w:tcMar>
              <w:top w:w="17" w:type="dxa"/>
              <w:left w:w="38" w:type="dxa"/>
              <w:bottom w:w="17" w:type="dxa"/>
              <w:right w:w="38" w:type="dxa"/>
            </w:tcMar>
          </w:tcPr>
          <w:p/>
        </w:tc>
        <w:tc>
          <w:tcPr>
            <w:tcW w:w="1349.4" w:type="dxa"/>
            <w:gridSpan w:val="3"/>
            <w:tcBorders>
</w:tcBorders>
            <w:shd w:val="clear" w:color="#000000" w:fill="#FFFFFF"/>
            <w:vAlign w:val="top"/>
            <w:tcMar>
              <w:top w:w="17" w:type="dxa"/>
              <w:left w:w="38" w:type="dxa"/>
              <w:bottom w:w="17" w:type="dxa"/>
              <w:right w:w="38" w:type="dxa"/>
            </w:tcMar>
          </w:tcPr>
          <w:p/>
        </w:tc>
        <w:tc>
          <w:tcPr>
            <w:tcW w:w="1094.551" w:type="dxa"/>
            <w:tcBorders>
</w:tcBorders>
            <w:shd w:val="clear" w:color="#000000" w:fill="#FFFFFF"/>
            <w:vAlign w:val="top"/>
            <w:tcMar>
              <w:top w:w="17" w:type="dxa"/>
              <w:left w:w="38" w:type="dxa"/>
              <w:bottom w:w="17" w:type="dxa"/>
              <w:right w:w="38" w:type="dxa"/>
            </w:tcMar>
          </w:tcPr>
          <w:p/>
        </w:tc>
        <w:tc>
          <w:tcPr>
            <w:tcW w:w="1134" w:type="dxa"/>
            <w:gridSpan w:val="2"/>
            <w:tcBorders>
</w:tcBorders>
            <w:vMerge w:val="restart"/>
            <w:shd w:val="clear" w:color="#FFFFFF" w:fill="#FFFFFF"/>
            <w:vAlign w:val="top"/>
            <w:tcMar>
              <w:top w:w="0" w:type="dxa"/>
              <w:left w:w="4" w:type="dxa"/>
              <w:bottom w:w="0" w:type="dxa"/>
              <w:right w:w="4" w:type="dxa"/>
            </w:tcMar>
          </w:tcPr>
          <w:p>
            <w:r>
              <w:rPr>
                <w:noProof/>
              </w:rPr>
              <w:drawing>
                <wp:inline distT="0" distB="0" distL="0" distR="0">
                  <wp:extent cx="720000" cy="720000"/>
                  <wp:docPr id="2" name="2" descr="Auto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pic:nvPicPr>
                        <pic:blipFill>
                          <a:blip r:embed="rId12"/>
                          <a:stretch>
                            <a:fillRect/>
                          </a:stretch>
                        </pic:blipFill>
                        <pic:spPr>
                          <a:xfrm>
                            <a:off x="0" y="0"/>
                            <a:ext cx="720000" cy="720000"/>
                          </a:xfrm>
                          <a:prstGeom prst="rect">
                            <a:avLst/>
                          </a:prstGeom>
                        </pic:spPr>
                      </pic:pic>
                    </a:graphicData>
                  </a:graphic>
                </wp:inline>
              </w:drawing>
            </w:r>
          </w:p>
        </w:tc>
        <w:tc>
          <w:tcPr>
            <w:tcW w:w="396.9" w:type="dxa"/>
            <w:tcBorders>
</w:tcBorders>
            <w:shd w:val="clear" w:color="#000000" w:fill="#FFFFFF"/>
            <w:vAlign w:val="top"/>
            <w:tcMar>
              <w:top w:w="17" w:type="dxa"/>
              <w:left w:w="38" w:type="dxa"/>
              <w:bottom w:w="17" w:type="dxa"/>
              <w:right w:w="38" w:type="dxa"/>
            </w:tcMar>
          </w:tcPr>
          <w:p/>
        </w:tc>
      </w:tr>
      <w:tr>
        <w:trPr>
          <w:trHeight w:hRule="exact" w:val="769.9861"/>
        </w:trPr>
        <w:tc>
          <w:tcPr>
            <w:tcW w:w="567" w:type="dxa"/>
          </w:tcPr>
          <w:p/>
        </w:tc>
        <w:tc>
          <w:tcPr>
            <w:tcW w:w="992" w:type="dxa"/>
          </w:tcPr>
          <w:p/>
        </w:tc>
        <w:tc>
          <w:tcPr>
            <w:tcW w:w="737" w:type="dxa"/>
          </w:tcPr>
          <w:p/>
        </w:tc>
        <w:tc>
          <w:tcPr>
            <w:tcW w:w="1146" w:type="dxa"/>
          </w:tcPr>
          <w:p/>
        </w:tc>
        <w:tc>
          <w:tcPr>
            <w:tcW w:w="203" w:type="dxa"/>
          </w:tcPr>
          <w:p/>
        </w:tc>
        <w:tc>
          <w:tcPr>
            <w:tcW w:w="830" w:type="dxa"/>
          </w:tcPr>
          <w:p/>
        </w:tc>
        <w:tc>
          <w:tcPr>
            <w:tcW w:w="520" w:type="dxa"/>
          </w:tcPr>
          <w:p/>
        </w:tc>
        <w:tc>
          <w:tcPr>
            <w:tcW w:w="1349" w:type="dxa"/>
          </w:tcPr>
          <w:p/>
        </w:tc>
        <w:tc>
          <w:tcPr>
            <w:tcW w:w="298" w:type="dxa"/>
          </w:tcPr>
          <w:p/>
        </w:tc>
        <w:tc>
          <w:tcPr>
            <w:tcW w:w="805" w:type="dxa"/>
          </w:tcPr>
          <w:p/>
        </w:tc>
        <w:tc>
          <w:tcPr>
            <w:tcW w:w="246" w:type="dxa"/>
          </w:tcPr>
          <w:p/>
        </w:tc>
        <w:tc>
          <w:tcPr>
            <w:tcW w:w="1095" w:type="dxa"/>
          </w:tcPr>
          <w:p/>
        </w:tc>
        <w:tc>
          <w:tcPr>
            <w:tcW w:w="1134" w:type="dxa"/>
            <w:gridSpan w:val="2"/>
            <w:tcBorders>
</w:tcBorders>
            <w:vMerge/>
            <w:shd w:val="clear" w:color="#FFFFFF" w:fill="#FFFFFF"/>
            <w:vAlign w:val="top"/>
            <w:tcMar>
              <w:top w:w="0" w:type="dxa"/>
              <w:left w:w="4" w:type="dxa"/>
              <w:bottom w:w="0" w:type="dxa"/>
              <w:right w:w="4" w:type="dxa"/>
            </w:tcMar>
          </w:tcPr>
          <w:p/>
        </w:tc>
        <w:tc>
          <w:tcPr>
            <w:tcW w:w="403" w:type="dxa"/>
          </w:tcPr>
          <w:p/>
        </w:tc>
      </w:tr>
      <w:tr>
        <w:trPr>
          <w:trHeight w:hRule="exact" w:val="1508.808"/>
        </w:trPr>
        <w:tc>
          <w:tcPr>
            <w:tcW w:w="567" w:type="dxa"/>
          </w:tcPr>
          <w:p/>
        </w:tc>
        <w:tc>
          <w:tcPr>
            <w:tcW w:w="992" w:type="dxa"/>
          </w:tcPr>
          <w:p/>
        </w:tc>
        <w:tc>
          <w:tcPr>
            <w:tcW w:w="737" w:type="dxa"/>
          </w:tcPr>
          <w:p/>
        </w:tc>
        <w:tc>
          <w:tcPr>
            <w:tcW w:w="1146" w:type="dxa"/>
          </w:tcPr>
          <w:p/>
        </w:tc>
        <w:tc>
          <w:tcPr>
            <w:tcW w:w="203" w:type="dxa"/>
          </w:tcPr>
          <w:p/>
        </w:tc>
        <w:tc>
          <w:tcPr>
            <w:tcW w:w="830" w:type="dxa"/>
          </w:tcPr>
          <w:p/>
        </w:tc>
        <w:tc>
          <w:tcPr>
            <w:tcW w:w="520" w:type="dxa"/>
          </w:tcPr>
          <w:p/>
        </w:tc>
        <w:tc>
          <w:tcPr>
            <w:tcW w:w="1349" w:type="dxa"/>
          </w:tcPr>
          <w:p/>
        </w:tc>
        <w:tc>
          <w:tcPr>
            <w:tcW w:w="298" w:type="dxa"/>
          </w:tcPr>
          <w:p/>
        </w:tc>
        <w:tc>
          <w:tcPr>
            <w:tcW w:w="805" w:type="dxa"/>
          </w:tcPr>
          <w:p/>
        </w:tc>
        <w:tc>
          <w:tcPr>
            <w:tcW w:w="246" w:type="dxa"/>
          </w:tcPr>
          <w:p/>
        </w:tc>
        <w:tc>
          <w:tcPr>
            <w:tcW w:w="1095" w:type="dxa"/>
          </w:tcPr>
          <w:p/>
        </w:tc>
        <w:tc>
          <w:tcPr>
            <w:tcW w:w="255" w:type="dxa"/>
          </w:tcPr>
          <w:p/>
        </w:tc>
        <w:tc>
          <w:tcPr>
            <w:tcW w:w="760" w:type="dxa"/>
          </w:tcPr>
          <w:p/>
        </w:tc>
        <w:tc>
          <w:tcPr>
            <w:tcW w:w="403" w:type="dxa"/>
          </w:tcPr>
          <w:p/>
        </w:tc>
      </w:tr>
      <w:tr>
        <w:trPr>
          <w:trHeight w:hRule="exact" w:val="277.8304"/>
        </w:trPr>
        <w:tc>
          <w:tcPr>
            <w:tcW w:w="3442.5" w:type="dxa"/>
            <w:gridSpan w:val="4"/>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202600000053735607</w:t>
            </w:r>
          </w:p>
        </w:tc>
        <w:tc>
          <w:tcPr>
            <w:tcW w:w="1032.75" w:type="dxa"/>
            <w:gridSpan w:val="2"/>
            <w:tcBorders>
              <w:top w:val="double" w:sz="8" w:space="0" w:color="#D3D3D3"/>
            </w:tcBorders>
            <w:shd w:val="clear" w:color="#D3D3D3" w:fill="#FFFFFF"/>
            <w:vAlign w:val="center"/>
            <w:tcMar>
              <w:top w:w="17" w:type="dxa"/>
              <w:left w:w="38" w:type="dxa"/>
              <w:bottom w:w="17" w:type="dxa"/>
              <w:right w:w="38" w:type="dxa"/>
            </w:tcMar>
          </w:tcPr>
          <w:p/>
        </w:tc>
        <w:tc>
          <w:tcPr>
            <w:tcW w:w="2167.5" w:type="dxa"/>
            <w:gridSpan w:val="3"/>
            <w:tcBorders>
              <w:top w:val="double" w:sz="8" w:space="0" w:color="#D3D3D3"/>
            </w:tcBorders>
            <w:shd w:val="clear" w:color="#D3D3D3" w:fill="#FFFFFF"/>
            <w:vAlign w:val="center"/>
            <w:tcMar>
              <w:top w:w="17" w:type="dxa"/>
              <w:left w:w="38" w:type="dxa"/>
              <w:bottom w:w="17" w:type="dxa"/>
              <w:right w:w="38" w:type="dxa"/>
            </w:tcMar>
          </w:tcPr>
          <w:p>
            <w:pPr>
              <w:jc w:val="left"/>
              <w:spacing w:after="0" w:line="150" w:lineRule="auto"/>
              <w:rPr>
                <w:sz w:val="12"/>
                <w:szCs w:val="12"/>
              </w:rPr>
            </w:pPr>
            <w:r>
              <w:rPr>
                <w:rFonts w:ascii="Times New Roman" w:hAnsi="Times New Roman" w:cs="Times New Roman"/>
                <w:i/>
                <w:color w:val="#D3D3D3"/>
                <w:sz w:val="12"/>
                <w:szCs w:val="12"/>
              </w:rPr>
              <w:t> АС  " Є-ЗВІТНІСТЬ "</w:t>
            </w:r>
          </w:p>
        </w:tc>
        <w:tc>
          <w:tcPr>
            <w:tcW w:w="805.2" w:type="dxa"/>
            <w:tcBorders>
              <w:top w:val="double" w:sz="8" w:space="0" w:color="#D3D3D3"/>
            </w:tcBorders>
            <w:shd w:val="clear" w:color="#D3D3D3" w:fill="#FFFFFF"/>
            <w:vAlign w:val="center"/>
            <w:tcMar>
              <w:top w:w="17" w:type="dxa"/>
              <w:left w:w="38" w:type="dxa"/>
              <w:bottom w:w="17" w:type="dxa"/>
              <w:right w:w="38" w:type="dxa"/>
            </w:tcMar>
          </w:tcPr>
          <w:p/>
        </w:tc>
        <w:tc>
          <w:tcPr>
            <w:tcW w:w="2750.7" w:type="dxa"/>
            <w:gridSpan w:val="5"/>
            <w:tcBorders>
              <w:top w:val="double" w:sz="8" w:space="0" w:color="#D3D3D3"/>
            </w:tcBorders>
            <w:shd w:val="clear" w:color="#D3D3D3" w:fill="#FFFFFF"/>
            <w:vAlign w:val="center"/>
            <w:tcMar>
              <w:top w:w="17" w:type="dxa"/>
              <w:left w:w="38" w:type="dxa"/>
              <w:bottom w:w="17" w:type="dxa"/>
              <w:right w:w="38" w:type="dxa"/>
            </w:tcMar>
          </w:tcPr>
          <w:p>
            <w:pPr>
              <w:jc w:val="center"/>
              <w:spacing w:after="0" w:line="150" w:lineRule="auto"/>
              <w:rPr>
                <w:sz w:val="12"/>
                <w:szCs w:val="12"/>
              </w:rPr>
            </w:pPr>
            <w:r>
              <w:rPr>
                <w:rFonts w:ascii="Times New Roman" w:hAnsi="Times New Roman" w:cs="Times New Roman"/>
                <w:i/>
                <w:color w:val="#D3D3D3"/>
                <w:sz w:val="12"/>
                <w:szCs w:val="12"/>
              </w:rPr>
              <w:t> ст. 2 з 2</w:t>
            </w:r>
          </w:p>
        </w:tc>
      </w:tr>
    </w:tbl>
    <w:p/>
    <w:sectPr>
      <w:pgSz w:w="11907" w:h="16840"/>
      <w:pgMar w:top="567" w:right="567" w:bottom="5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
<Relationship Id="rId1" Type="http://schemas.openxmlformats.org/officeDocument/2006/relationships/settings" Target="settings.xml" />
<Relationship Id="rId2" Type="http://schemas.openxmlformats.org/officeDocument/2006/relationships/styles" Target="styles.xml" />
<Relationship Id="rId3" Type="http://schemas.openxmlformats.org/officeDocument/2006/relationships/fontTable" Target="fontTable.xml" />
<Relationship Id="rId11" Type="http://schemas.openxmlformats.org/officeDocument/2006/relationships/image" Target="media/image1.png" />
<Relationship Id="rId12" Type="http://schemas.openxmlformats.org/officeDocument/2006/relationships/image" Target="media/image2.png" />
</Relationships>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Worksheets</vt:lpstr>
      </vt:variant>
      <vt:variant>
        <vt:i4>2</vt:i4>
      </vt:variant>
    </vt:vector>
  </HeadingPairs>
  <TitlesOfParts>
    <vt:vector size="1" baseType="lpstr">
      <vt:lpstr>Лист1</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2009-06-17T07:33:19Z</dcterms:created>
  <dc:title>2026_01_01 Додаток 10 до Наказу 44 53735607 2026_02_03 17_08_00</dc:title>
  <dc:creator>FastReport.NET</dc:creator>
</cp:coreProperties>
</file>